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rFonts w:ascii="黑体" w:hAnsi="黑体" w:eastAsia="黑体"/>
          <w:sz w:val="72"/>
          <w:szCs w:val="72"/>
        </w:rPr>
      </w:pPr>
      <w:r>
        <w:rPr>
          <w:rFonts w:hint="eastAsia" w:ascii="黑体" w:hAnsi="黑体" w:eastAsia="黑体"/>
          <w:sz w:val="72"/>
          <w:szCs w:val="72"/>
        </w:rPr>
        <w:t>中国共产党格尔木市纪律</w:t>
      </w:r>
    </w:p>
    <w:p>
      <w:pPr>
        <w:jc w:val="center"/>
        <w:rPr>
          <w:rFonts w:ascii="黑体" w:hAnsi="黑体" w:eastAsia="黑体"/>
          <w:sz w:val="72"/>
          <w:szCs w:val="72"/>
        </w:rPr>
      </w:pPr>
      <w:r>
        <w:rPr>
          <w:rFonts w:hint="eastAsia" w:ascii="黑体" w:hAnsi="黑体" w:eastAsia="黑体"/>
          <w:sz w:val="72"/>
          <w:szCs w:val="72"/>
        </w:rPr>
        <w:t>检查委员会</w:t>
      </w:r>
    </w:p>
    <w:p>
      <w:r>
        <w:drawing>
          <wp:inline distT="0" distB="0" distL="0" distR="0">
            <wp:extent cx="5619115" cy="571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19115" cy="57150"/>
                    </a:xfrm>
                    <a:prstGeom prst="rect">
                      <a:avLst/>
                    </a:prstGeom>
                    <a:noFill/>
                  </pic:spPr>
                </pic:pic>
              </a:graphicData>
            </a:graphic>
          </wp:inline>
        </w:drawing>
      </w:r>
    </w:p>
    <w:p>
      <w:pPr>
        <w:jc w:val="center"/>
        <w:rPr>
          <w:rFonts w:hint="eastAsia" w:ascii="黑体" w:hAnsi="黑体" w:eastAsia="黑体"/>
          <w:sz w:val="72"/>
          <w:szCs w:val="72"/>
          <w:lang w:eastAsia="zh-CN"/>
        </w:rPr>
      </w:pPr>
      <w:r>
        <w:rPr>
          <w:rFonts w:hint="eastAsia" w:ascii="黑体" w:hAnsi="黑体" w:eastAsia="黑体"/>
          <w:sz w:val="72"/>
          <w:szCs w:val="72"/>
        </w:rPr>
        <w:t>2019年部门预</w:t>
      </w:r>
      <w:r>
        <w:rPr>
          <w:rFonts w:hint="eastAsia" w:ascii="黑体" w:hAnsi="黑体" w:eastAsia="黑体"/>
          <w:sz w:val="72"/>
          <w:szCs w:val="72"/>
          <w:lang w:eastAsia="zh-CN"/>
        </w:rPr>
        <w:t>算</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hint="eastAsia" w:ascii="黑体" w:hAnsi="黑体" w:eastAsia="黑体"/>
          <w:sz w:val="72"/>
          <w:szCs w:val="72"/>
        </w:rPr>
      </w:pPr>
    </w:p>
    <w:p>
      <w:pPr>
        <w:jc w:val="center"/>
        <w:rPr>
          <w:rFonts w:ascii="黑体" w:hAnsi="黑体" w:eastAsia="黑体"/>
          <w:sz w:val="72"/>
          <w:szCs w:val="72"/>
        </w:rPr>
      </w:pPr>
    </w:p>
    <w:p>
      <w:pPr>
        <w:jc w:val="center"/>
        <w:rPr>
          <w:rFonts w:ascii="方正小标宋简体" w:hAnsi="黑体" w:eastAsia="方正小标宋简体" w:cs="Times New Roman"/>
          <w:sz w:val="32"/>
          <w:szCs w:val="32"/>
        </w:rPr>
      </w:pPr>
      <w:r>
        <w:rPr>
          <w:rFonts w:hint="eastAsia" w:ascii="方正小标宋简体" w:hAnsi="黑体" w:eastAsia="方正小标宋简体" w:cs="方正小标宋简体"/>
          <w:sz w:val="32"/>
          <w:szCs w:val="32"/>
        </w:rPr>
        <w:t>目</w:t>
      </w:r>
      <w:r>
        <w:rPr>
          <w:rFonts w:ascii="方正小标宋简体" w:hAnsi="黑体" w:eastAsia="方正小标宋简体" w:cs="方正小标宋简体"/>
          <w:sz w:val="32"/>
          <w:szCs w:val="32"/>
        </w:rPr>
        <w:t xml:space="preserve">   </w:t>
      </w:r>
      <w:r>
        <w:rPr>
          <w:rFonts w:hint="eastAsia" w:ascii="方正小标宋简体" w:hAnsi="黑体" w:eastAsia="方正小标宋简体" w:cs="方正小标宋简体"/>
          <w:sz w:val="32"/>
          <w:szCs w:val="32"/>
        </w:rPr>
        <w:t>录</w:t>
      </w:r>
    </w:p>
    <w:p>
      <w:pPr>
        <w:rPr>
          <w:rFonts w:ascii="方正小标宋简体" w:hAnsi="黑体" w:eastAsia="方正小标宋简体" w:cs="Times New Roman"/>
          <w:sz w:val="32"/>
          <w:szCs w:val="32"/>
        </w:rPr>
      </w:pPr>
      <w:r>
        <w:rPr>
          <w:rFonts w:hint="eastAsia" w:ascii="方正小标宋简体" w:hAnsi="黑体" w:eastAsia="方正小标宋简体" w:cs="方正小标宋简体"/>
          <w:sz w:val="32"/>
          <w:szCs w:val="32"/>
        </w:rPr>
        <w:t>第一部分</w:t>
      </w:r>
      <w:r>
        <w:rPr>
          <w:rFonts w:ascii="方正小标宋简体" w:hAnsi="黑体" w:eastAsia="方正小标宋简体" w:cs="方正小标宋简体"/>
          <w:sz w:val="32"/>
          <w:szCs w:val="32"/>
        </w:rPr>
        <w:t xml:space="preserve">  </w:t>
      </w:r>
      <w:r>
        <w:rPr>
          <w:rFonts w:hint="eastAsia" w:ascii="方正小标宋简体" w:hAnsi="黑体" w:eastAsia="方正小标宋简体" w:cs="方正小标宋简体"/>
          <w:sz w:val="32"/>
          <w:szCs w:val="32"/>
        </w:rPr>
        <w:t>中国共产党格尔木市纪律检查委员会概况</w:t>
      </w:r>
    </w:p>
    <w:p>
      <w:pPr>
        <w:ind w:firstLine="640" w:firstLineChars="200"/>
        <w:rPr>
          <w:rFonts w:ascii="仿宋_GB2312" w:hAnsi="仿宋" w:eastAsia="仿宋_GB2312" w:cs="Times New Roman"/>
          <w:sz w:val="32"/>
          <w:szCs w:val="32"/>
        </w:rPr>
      </w:pPr>
      <w:r>
        <w:rPr>
          <w:rFonts w:hint="eastAsia" w:ascii="仿宋_GB2312" w:hAnsi="仿宋" w:eastAsia="仿宋_GB2312" w:cs="黑体"/>
          <w:sz w:val="32"/>
          <w:szCs w:val="32"/>
        </w:rPr>
        <w:t>一、主要职能</w:t>
      </w:r>
    </w:p>
    <w:p>
      <w:pPr>
        <w:ind w:firstLine="640" w:firstLineChars="200"/>
        <w:rPr>
          <w:rFonts w:ascii="仿宋_GB2312" w:hAnsi="仿宋" w:eastAsia="仿宋_GB2312" w:cs="Times New Roman"/>
          <w:sz w:val="32"/>
          <w:szCs w:val="32"/>
        </w:rPr>
      </w:pPr>
      <w:r>
        <w:rPr>
          <w:rFonts w:hint="eastAsia" w:ascii="仿宋_GB2312" w:hAnsi="仿宋" w:eastAsia="仿宋_GB2312" w:cs="黑体"/>
          <w:sz w:val="32"/>
          <w:szCs w:val="32"/>
        </w:rPr>
        <w:t>二、部门预算单位构成</w:t>
      </w:r>
    </w:p>
    <w:p>
      <w:pPr>
        <w:rPr>
          <w:rFonts w:ascii="方正小标宋简体" w:hAnsi="黑体" w:eastAsia="方正小标宋简体" w:cs="Times New Roman"/>
          <w:sz w:val="32"/>
          <w:szCs w:val="32"/>
        </w:rPr>
      </w:pPr>
      <w:r>
        <w:rPr>
          <w:rFonts w:hint="eastAsia" w:ascii="方正小标宋简体" w:hAnsi="黑体" w:eastAsia="方正小标宋简体" w:cs="方正小标宋简体"/>
          <w:sz w:val="32"/>
          <w:szCs w:val="32"/>
        </w:rPr>
        <w:t>第二部分</w:t>
      </w:r>
      <w:r>
        <w:rPr>
          <w:rFonts w:ascii="方正小标宋简体" w:hAnsi="黑体" w:eastAsia="方正小标宋简体" w:cs="方正小标宋简体"/>
          <w:sz w:val="32"/>
          <w:szCs w:val="32"/>
        </w:rPr>
        <w:t xml:space="preserve">  </w:t>
      </w:r>
      <w:r>
        <w:rPr>
          <w:rFonts w:hint="eastAsia" w:ascii="方正小标宋简体" w:hAnsi="黑体" w:eastAsia="方正小标宋简体" w:cs="方正小标宋简体"/>
          <w:sz w:val="32"/>
          <w:szCs w:val="32"/>
        </w:rPr>
        <w:t>中国共产党格尔木市纪律检查委员会</w:t>
      </w:r>
      <w:r>
        <w:rPr>
          <w:rFonts w:ascii="方正小标宋简体" w:hAnsi="黑体" w:eastAsia="方正小标宋简体" w:cs="方正小标宋简体"/>
          <w:sz w:val="32"/>
          <w:szCs w:val="32"/>
        </w:rPr>
        <w:t>201</w:t>
      </w:r>
      <w:r>
        <w:rPr>
          <w:rFonts w:hint="eastAsia" w:ascii="方正小标宋简体" w:hAnsi="黑体" w:eastAsia="方正小标宋简体" w:cs="方正小标宋简体"/>
          <w:sz w:val="32"/>
          <w:szCs w:val="32"/>
        </w:rPr>
        <w:t>9年度部门预算表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一、财政拨款收支总表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二、一般公共预算支出表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三、一般公共预算基本支出表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四、一般公共预算“三公”经费支出表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五、政府性基金预算支出表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六、部门收支总表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七、部门收入总表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八、部门支出总表</w:t>
      </w:r>
    </w:p>
    <w:p>
      <w:pPr>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九、部门项目支出表</w:t>
      </w:r>
    </w:p>
    <w:p>
      <w:pPr>
        <w:rPr>
          <w:rFonts w:ascii="方正小标宋简体" w:hAnsi="黑体" w:eastAsia="方正小标宋简体" w:cs="方正小标宋简体"/>
          <w:sz w:val="32"/>
          <w:szCs w:val="32"/>
        </w:rPr>
      </w:pPr>
      <w:r>
        <w:rPr>
          <w:rFonts w:hint="eastAsia" w:ascii="方正小标宋简体" w:hAnsi="黑体" w:eastAsia="方正小标宋简体" w:cs="方正小标宋简体"/>
          <w:sz w:val="32"/>
          <w:szCs w:val="32"/>
        </w:rPr>
        <w:t>第三部分</w:t>
      </w:r>
      <w:r>
        <w:rPr>
          <w:rFonts w:ascii="方正小标宋简体" w:hAnsi="黑体" w:eastAsia="方正小标宋简体" w:cs="方正小标宋简体"/>
          <w:sz w:val="32"/>
          <w:szCs w:val="32"/>
        </w:rPr>
        <w:t xml:space="preserve">  </w:t>
      </w:r>
      <w:r>
        <w:rPr>
          <w:rFonts w:hint="eastAsia" w:ascii="方正小标宋简体" w:hAnsi="黑体" w:eastAsia="方正小标宋简体" w:cs="方正小标宋简体"/>
          <w:sz w:val="32"/>
          <w:szCs w:val="32"/>
        </w:rPr>
        <w:t>中国共产党格尔木市纪律检查委员会</w:t>
      </w:r>
      <w:r>
        <w:rPr>
          <w:rFonts w:ascii="方正小标宋简体" w:hAnsi="黑体" w:eastAsia="方正小标宋简体" w:cs="方正小标宋简体"/>
          <w:sz w:val="32"/>
          <w:szCs w:val="32"/>
        </w:rPr>
        <w:t>201</w:t>
      </w:r>
      <w:r>
        <w:rPr>
          <w:rFonts w:hint="eastAsia" w:ascii="方正小标宋简体" w:hAnsi="黑体" w:eastAsia="方正小标宋简体" w:cs="方正小标宋简体"/>
          <w:sz w:val="32"/>
          <w:szCs w:val="32"/>
        </w:rPr>
        <w:t>9年部门预算情况说明</w:t>
      </w:r>
      <w:r>
        <w:rPr>
          <w:rFonts w:ascii="方正小标宋简体" w:hAnsi="黑体" w:eastAsia="方正小标宋简体" w:cs="方正小标宋简体"/>
          <w:sz w:val="32"/>
          <w:szCs w:val="32"/>
        </w:rPr>
        <w:t xml:space="preserve"> </w:t>
      </w:r>
    </w:p>
    <w:p>
      <w:pPr>
        <w:rPr>
          <w:rFonts w:ascii="方正小标宋简体" w:hAnsi="黑体" w:eastAsia="方正小标宋简体" w:cs="Times New Roman"/>
          <w:sz w:val="32"/>
          <w:szCs w:val="32"/>
        </w:rPr>
      </w:pPr>
      <w:r>
        <w:rPr>
          <w:rFonts w:hint="eastAsia" w:ascii="方正小标宋简体" w:hAnsi="黑体" w:eastAsia="方正小标宋简体" w:cs="方正小标宋简体"/>
          <w:sz w:val="32"/>
          <w:szCs w:val="32"/>
        </w:rPr>
        <w:t>第四部分</w:t>
      </w:r>
      <w:r>
        <w:rPr>
          <w:rFonts w:ascii="方正小标宋简体" w:hAnsi="黑体" w:eastAsia="方正小标宋简体" w:cs="方正小标宋简体"/>
          <w:sz w:val="32"/>
          <w:szCs w:val="32"/>
        </w:rPr>
        <w:t xml:space="preserve">  </w:t>
      </w:r>
      <w:r>
        <w:rPr>
          <w:rFonts w:hint="eastAsia" w:ascii="方正小标宋简体" w:hAnsi="黑体" w:eastAsia="方正小标宋简体" w:cs="方正小标宋简体"/>
          <w:sz w:val="32"/>
          <w:szCs w:val="32"/>
        </w:rPr>
        <w:t>名词解释</w:t>
      </w:r>
    </w:p>
    <w:p>
      <w:pPr>
        <w:tabs>
          <w:tab w:val="left" w:pos="7350"/>
        </w:tabs>
        <w:rPr>
          <w:rFonts w:ascii="仿宋" w:hAnsi="仿宋" w:eastAsia="仿宋" w:cs="Times New Roman"/>
          <w:sz w:val="32"/>
          <w:szCs w:val="32"/>
        </w:rPr>
      </w:pPr>
    </w:p>
    <w:p>
      <w:pPr>
        <w:tabs>
          <w:tab w:val="left" w:pos="7350"/>
        </w:tabs>
        <w:rPr>
          <w:rFonts w:ascii="仿宋" w:hAnsi="仿宋" w:eastAsia="仿宋" w:cs="Times New Roman"/>
          <w:sz w:val="32"/>
          <w:szCs w:val="32"/>
        </w:rPr>
      </w:pPr>
    </w:p>
    <w:p>
      <w:pPr>
        <w:tabs>
          <w:tab w:val="left" w:pos="7350"/>
        </w:tabs>
        <w:rPr>
          <w:rFonts w:ascii="仿宋" w:hAnsi="仿宋" w:eastAsia="仿宋" w:cs="Times New Roman"/>
          <w:sz w:val="32"/>
          <w:szCs w:val="32"/>
        </w:rPr>
      </w:pPr>
    </w:p>
    <w:p>
      <w:pPr>
        <w:jc w:val="center"/>
        <w:rPr>
          <w:rFonts w:ascii="黑体" w:hAnsi="黑体" w:eastAsia="黑体" w:cs="方正小标宋简体"/>
          <w:sz w:val="36"/>
          <w:szCs w:val="36"/>
        </w:rPr>
      </w:pPr>
      <w:r>
        <w:rPr>
          <w:rFonts w:hint="eastAsia" w:ascii="黑体" w:hAnsi="黑体" w:eastAsia="黑体" w:cs="方正小标宋简体"/>
          <w:sz w:val="36"/>
          <w:szCs w:val="36"/>
        </w:rPr>
        <w:t>第一部分</w:t>
      </w:r>
      <w:r>
        <w:rPr>
          <w:rFonts w:ascii="黑体" w:hAnsi="黑体" w:eastAsia="黑体" w:cs="方正小标宋简体"/>
          <w:sz w:val="36"/>
          <w:szCs w:val="36"/>
        </w:rPr>
        <w:t xml:space="preserve">  </w:t>
      </w:r>
      <w:r>
        <w:rPr>
          <w:rFonts w:hint="eastAsia" w:ascii="黑体" w:hAnsi="黑体" w:eastAsia="黑体" w:cs="方正小标宋简体"/>
          <w:sz w:val="36"/>
          <w:szCs w:val="36"/>
        </w:rPr>
        <w:t>中国共产党格尔木市纪律检查委员会</w:t>
      </w:r>
    </w:p>
    <w:p>
      <w:pPr>
        <w:jc w:val="center"/>
        <w:rPr>
          <w:rFonts w:ascii="黑体" w:hAnsi="黑体" w:eastAsia="黑体" w:cs="Times New Roman"/>
          <w:sz w:val="36"/>
          <w:szCs w:val="36"/>
        </w:rPr>
      </w:pPr>
      <w:r>
        <w:rPr>
          <w:rFonts w:hint="eastAsia" w:ascii="黑体" w:hAnsi="黑体" w:eastAsia="黑体" w:cs="方正小标宋简体"/>
          <w:sz w:val="36"/>
          <w:szCs w:val="36"/>
        </w:rPr>
        <w:t xml:space="preserve">       概况</w:t>
      </w:r>
    </w:p>
    <w:p>
      <w:pPr>
        <w:tabs>
          <w:tab w:val="left" w:pos="7350"/>
        </w:tabs>
        <w:rPr>
          <w:rFonts w:ascii="仿宋" w:hAnsi="仿宋" w:eastAsia="仿宋" w:cs="Times New Roman"/>
          <w:sz w:val="32"/>
          <w:szCs w:val="32"/>
        </w:rPr>
      </w:pPr>
    </w:p>
    <w:p>
      <w:pPr>
        <w:ind w:firstLine="640" w:firstLineChars="200"/>
        <w:rPr>
          <w:rFonts w:ascii="黑体" w:hAnsi="楷体" w:eastAsia="黑体" w:cs="Times New Roman"/>
          <w:sz w:val="32"/>
          <w:szCs w:val="32"/>
        </w:rPr>
      </w:pPr>
      <w:r>
        <w:rPr>
          <w:rFonts w:hint="eastAsia" w:ascii="黑体" w:hAnsi="楷体" w:eastAsia="黑体" w:cs="黑体"/>
          <w:sz w:val="32"/>
          <w:szCs w:val="32"/>
        </w:rPr>
        <w:t>一、主要职能</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主管全市党的纪律检查工作和行政监察工作。</w:t>
      </w:r>
      <w:r>
        <w:rPr>
          <w:rFonts w:ascii="仿宋_GB2312" w:hAnsi="仿宋" w:eastAsia="仿宋_GB2312" w:cs="仿宋_GB2312"/>
          <w:sz w:val="32"/>
          <w:szCs w:val="32"/>
        </w:rPr>
        <w:t xml:space="preserve"> </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维护党的章程和其他党内法规，检查党的路线、方针、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政策和决议的执行情况。</w:t>
      </w:r>
      <w:r>
        <w:rPr>
          <w:rFonts w:ascii="仿宋_GB2312" w:hAnsi="仿宋" w:eastAsia="仿宋_GB2312" w:cs="仿宋_GB2312"/>
          <w:sz w:val="32"/>
          <w:szCs w:val="32"/>
        </w:rPr>
        <w:t xml:space="preserve"> </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协助党的委员会加强党风建设和组织协调反腐败工作。</w:t>
      </w:r>
      <w:r>
        <w:rPr>
          <w:rFonts w:ascii="仿宋_GB2312" w:hAnsi="仿宋" w:eastAsia="仿宋_GB2312" w:cs="仿宋_GB2312"/>
          <w:sz w:val="32"/>
          <w:szCs w:val="32"/>
        </w:rPr>
        <w:t xml:space="preserve"> </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各级纪律检查委员会要经常对党员进行遵守纪律的教育，作出关于维护党纪的决定。</w:t>
      </w:r>
      <w:r>
        <w:rPr>
          <w:rFonts w:ascii="仿宋_GB2312" w:hAnsi="仿宋" w:eastAsia="仿宋_GB2312" w:cs="仿宋_GB2312"/>
          <w:sz w:val="32"/>
          <w:szCs w:val="32"/>
        </w:rPr>
        <w:t xml:space="preserve"> </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对党员领导干部行使权力进行监督。</w:t>
      </w:r>
      <w:r>
        <w:rPr>
          <w:rFonts w:ascii="仿宋_GB2312" w:hAnsi="仿宋" w:eastAsia="仿宋_GB2312" w:cs="仿宋_GB2312"/>
          <w:sz w:val="32"/>
          <w:szCs w:val="32"/>
        </w:rPr>
        <w:t xml:space="preserve"> </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检查和处理党的组织和党员违反党的章程和其他党内法</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规的比较重要或复杂的案件，决定或取消对这些案件中的党员</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的处分。</w:t>
      </w:r>
      <w:r>
        <w:rPr>
          <w:rFonts w:ascii="仿宋_GB2312" w:hAnsi="仿宋" w:eastAsia="仿宋_GB2312" w:cs="仿宋_GB2312"/>
          <w:sz w:val="32"/>
          <w:szCs w:val="32"/>
        </w:rPr>
        <w:t xml:space="preserve"> </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受理党员的控告和申诉；保障党员的权利。</w:t>
      </w:r>
      <w:r>
        <w:rPr>
          <w:rFonts w:ascii="仿宋_GB2312" w:hAnsi="仿宋" w:eastAsia="仿宋_GB2312" w:cs="仿宋_GB2312"/>
          <w:sz w:val="32"/>
          <w:szCs w:val="32"/>
        </w:rPr>
        <w:t xml:space="preserve"> </w:t>
      </w:r>
    </w:p>
    <w:p>
      <w:pPr>
        <w:ind w:firstLine="640" w:firstLineChars="200"/>
        <w:rPr>
          <w:rFonts w:ascii="黑体" w:hAnsi="楷体" w:eastAsia="黑体" w:cs="黑体"/>
          <w:sz w:val="32"/>
          <w:szCs w:val="32"/>
        </w:rPr>
      </w:pPr>
      <w:r>
        <w:rPr>
          <w:rFonts w:hint="eastAsia" w:ascii="黑体" w:hAnsi="楷体" w:eastAsia="黑体" w:cs="黑体"/>
          <w:sz w:val="32"/>
          <w:szCs w:val="32"/>
        </w:rPr>
        <w:t>二、部门预算单位构成</w:t>
      </w:r>
      <w:r>
        <w:rPr>
          <w:rFonts w:ascii="黑体" w:hAnsi="楷体" w:eastAsia="黑体" w:cs="黑体"/>
          <w:sz w:val="32"/>
          <w:szCs w:val="32"/>
        </w:rPr>
        <w:t xml:space="preserve"> </w:t>
      </w:r>
    </w:p>
    <w:p>
      <w:pPr>
        <w:jc w:val="center"/>
        <w:rPr>
          <w:rFonts w:ascii="黑体" w:hAnsi="黑体" w:eastAsia="黑体"/>
          <w:b/>
          <w:sz w:val="36"/>
          <w:szCs w:val="36"/>
        </w:rPr>
      </w:pP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201</w:t>
      </w:r>
      <w:r>
        <w:rPr>
          <w:rFonts w:hint="eastAsia" w:ascii="仿宋_GB2312" w:hAnsi="仿宋" w:eastAsia="仿宋_GB2312" w:cs="仿宋_GB2312"/>
          <w:sz w:val="32"/>
          <w:szCs w:val="32"/>
        </w:rPr>
        <w:t>9年度预算编制范围包括格尔木市纪委</w:t>
      </w:r>
      <w:r>
        <w:rPr>
          <w:rFonts w:ascii="仿宋_GB2312" w:hAnsi="仿宋" w:eastAsia="仿宋_GB2312" w:cs="仿宋_GB2312"/>
          <w:sz w:val="32"/>
          <w:szCs w:val="32"/>
        </w:rPr>
        <w:t>1</w:t>
      </w:r>
      <w:r>
        <w:rPr>
          <w:rFonts w:hint="eastAsia" w:ascii="仿宋_GB2312" w:hAnsi="仿宋" w:eastAsia="仿宋_GB2312" w:cs="仿宋_GB2312"/>
          <w:sz w:val="32"/>
          <w:szCs w:val="32"/>
        </w:rPr>
        <w:t>个预算单位。</w:t>
      </w:r>
    </w:p>
    <w:tbl>
      <w:tblPr>
        <w:tblStyle w:val="9"/>
        <w:tblW w:w="7668" w:type="dxa"/>
        <w:tblInd w:w="694" w:type="dxa"/>
        <w:tblLayout w:type="fixed"/>
        <w:tblCellMar>
          <w:top w:w="0" w:type="dxa"/>
          <w:left w:w="0" w:type="dxa"/>
          <w:bottom w:w="0" w:type="dxa"/>
          <w:right w:w="0" w:type="dxa"/>
        </w:tblCellMar>
      </w:tblPr>
      <w:tblGrid>
        <w:gridCol w:w="1340"/>
        <w:gridCol w:w="6328"/>
      </w:tblGrid>
      <w:tr>
        <w:tblPrEx>
          <w:tblLayout w:type="fixed"/>
          <w:tblCellMar>
            <w:top w:w="0" w:type="dxa"/>
            <w:left w:w="0" w:type="dxa"/>
            <w:bottom w:w="0" w:type="dxa"/>
            <w:right w:w="0" w:type="dxa"/>
          </w:tblCellMar>
        </w:tblPrEx>
        <w:trPr>
          <w:trHeight w:val="634" w:hRule="exact"/>
        </w:trPr>
        <w:tc>
          <w:tcPr>
            <w:tcW w:w="1340" w:type="dxa"/>
            <w:tcBorders>
              <w:top w:val="single" w:color="000000" w:sz="4" w:space="0"/>
              <w:left w:val="single" w:color="000000" w:sz="4" w:space="0"/>
              <w:bottom w:val="single" w:color="000000" w:sz="4" w:space="0"/>
              <w:right w:val="single" w:color="000000" w:sz="4" w:space="0"/>
            </w:tcBorders>
            <w:vAlign w:val="center"/>
          </w:tcPr>
          <w:p>
            <w:pPr>
              <w:pStyle w:val="10"/>
              <w:spacing w:before="52"/>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序号</w:t>
            </w:r>
          </w:p>
        </w:tc>
        <w:tc>
          <w:tcPr>
            <w:tcW w:w="6328" w:type="dxa"/>
            <w:tcBorders>
              <w:top w:val="single" w:color="000000" w:sz="4" w:space="0"/>
              <w:left w:val="single" w:color="000000" w:sz="4" w:space="0"/>
              <w:bottom w:val="single" w:color="000000" w:sz="4" w:space="0"/>
              <w:right w:val="single" w:color="000000" w:sz="4" w:space="0"/>
            </w:tcBorders>
            <w:vAlign w:val="center"/>
          </w:tcPr>
          <w:p>
            <w:pPr>
              <w:pStyle w:val="10"/>
              <w:spacing w:before="52"/>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r>
      <w:tr>
        <w:tblPrEx>
          <w:tblLayout w:type="fixed"/>
          <w:tblCellMar>
            <w:top w:w="0" w:type="dxa"/>
            <w:left w:w="0" w:type="dxa"/>
            <w:bottom w:w="0" w:type="dxa"/>
            <w:right w:w="0" w:type="dxa"/>
          </w:tblCellMar>
        </w:tblPrEx>
        <w:trPr>
          <w:trHeight w:val="634" w:hRule="exact"/>
        </w:trPr>
        <w:tc>
          <w:tcPr>
            <w:tcW w:w="1340" w:type="dxa"/>
            <w:tcBorders>
              <w:top w:val="single" w:color="000000" w:sz="4" w:space="0"/>
              <w:left w:val="single" w:color="000000" w:sz="4" w:space="0"/>
              <w:bottom w:val="single" w:color="000000" w:sz="4" w:space="0"/>
              <w:right w:val="single" w:color="000000" w:sz="4" w:space="0"/>
            </w:tcBorders>
            <w:vAlign w:val="center"/>
          </w:tcPr>
          <w:p>
            <w:pPr>
              <w:pStyle w:val="10"/>
              <w:spacing w:before="51"/>
              <w:jc w:val="center"/>
              <w:rPr>
                <w:rFonts w:ascii="仿宋_GB2312" w:hAnsi="仿宋_GB2312" w:eastAsia="仿宋_GB2312" w:cs="仿宋_GB2312"/>
                <w:sz w:val="32"/>
                <w:szCs w:val="32"/>
                <w:lang w:eastAsia="zh-CN"/>
              </w:rPr>
            </w:pPr>
            <w:r>
              <w:rPr>
                <w:rFonts w:hint="eastAsia" w:ascii="仿宋_GB2312" w:eastAsia="仿宋_GB2312"/>
                <w:w w:val="99"/>
                <w:sz w:val="32"/>
                <w:szCs w:val="32"/>
                <w:lang w:eastAsia="zh-CN"/>
              </w:rPr>
              <w:t>1</w:t>
            </w:r>
          </w:p>
        </w:tc>
        <w:tc>
          <w:tcPr>
            <w:tcW w:w="63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32"/>
                <w:szCs w:val="32"/>
                <w:lang w:eastAsia="zh-CN"/>
              </w:rPr>
            </w:pPr>
          </w:p>
        </w:tc>
      </w:tr>
      <w:tr>
        <w:tblPrEx>
          <w:tblLayout w:type="fixed"/>
          <w:tblCellMar>
            <w:top w:w="0" w:type="dxa"/>
            <w:left w:w="0" w:type="dxa"/>
            <w:bottom w:w="0" w:type="dxa"/>
            <w:right w:w="0" w:type="dxa"/>
          </w:tblCellMar>
        </w:tblPrEx>
        <w:trPr>
          <w:trHeight w:val="634" w:hRule="exact"/>
        </w:trPr>
        <w:tc>
          <w:tcPr>
            <w:tcW w:w="1340" w:type="dxa"/>
            <w:tcBorders>
              <w:top w:val="single" w:color="000000" w:sz="4" w:space="0"/>
              <w:left w:val="single" w:color="000000" w:sz="4" w:space="0"/>
              <w:bottom w:val="single" w:color="000000" w:sz="4" w:space="0"/>
              <w:right w:val="single" w:color="000000" w:sz="4" w:space="0"/>
            </w:tcBorders>
            <w:vAlign w:val="center"/>
          </w:tcPr>
          <w:p>
            <w:pPr>
              <w:pStyle w:val="10"/>
              <w:spacing w:before="51"/>
              <w:jc w:val="center"/>
              <w:rPr>
                <w:rFonts w:ascii="仿宋_GB2312" w:hAnsi="仿宋_GB2312" w:eastAsia="仿宋_GB2312" w:cs="仿宋_GB2312"/>
                <w:sz w:val="32"/>
                <w:szCs w:val="32"/>
                <w:lang w:eastAsia="zh-CN"/>
              </w:rPr>
            </w:pPr>
            <w:r>
              <w:rPr>
                <w:rFonts w:hint="eastAsia" w:ascii="仿宋_GB2312" w:eastAsia="仿宋_GB2312"/>
                <w:w w:val="99"/>
                <w:sz w:val="32"/>
                <w:szCs w:val="32"/>
                <w:lang w:eastAsia="zh-CN"/>
              </w:rPr>
              <w:t>2</w:t>
            </w:r>
          </w:p>
        </w:tc>
        <w:tc>
          <w:tcPr>
            <w:tcW w:w="63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32"/>
                <w:szCs w:val="32"/>
                <w:lang w:eastAsia="zh-CN"/>
              </w:rPr>
            </w:pPr>
          </w:p>
        </w:tc>
      </w:tr>
      <w:tr>
        <w:tblPrEx>
          <w:tblLayout w:type="fixed"/>
          <w:tblCellMar>
            <w:top w:w="0" w:type="dxa"/>
            <w:left w:w="0" w:type="dxa"/>
            <w:bottom w:w="0" w:type="dxa"/>
            <w:right w:w="0" w:type="dxa"/>
          </w:tblCellMar>
        </w:tblPrEx>
        <w:trPr>
          <w:trHeight w:val="634" w:hRule="exact"/>
        </w:trPr>
        <w:tc>
          <w:tcPr>
            <w:tcW w:w="1340" w:type="dxa"/>
            <w:tcBorders>
              <w:top w:val="single" w:color="000000" w:sz="4" w:space="0"/>
              <w:left w:val="single" w:color="000000" w:sz="4" w:space="0"/>
              <w:bottom w:val="single" w:color="000000" w:sz="4" w:space="0"/>
              <w:right w:val="single" w:color="000000" w:sz="4" w:space="0"/>
            </w:tcBorders>
            <w:vAlign w:val="center"/>
          </w:tcPr>
          <w:p>
            <w:pPr>
              <w:pStyle w:val="10"/>
              <w:spacing w:before="53"/>
              <w:jc w:val="center"/>
              <w:rPr>
                <w:rFonts w:ascii="仿宋_GB2312" w:hAnsi="仿宋_GB2312" w:eastAsia="仿宋_GB2312" w:cs="仿宋_GB2312"/>
                <w:sz w:val="32"/>
                <w:szCs w:val="32"/>
                <w:lang w:eastAsia="zh-CN"/>
              </w:rPr>
            </w:pPr>
            <w:r>
              <w:rPr>
                <w:rFonts w:hint="eastAsia" w:ascii="仿宋_GB2312" w:eastAsia="仿宋_GB2312"/>
                <w:w w:val="99"/>
                <w:sz w:val="32"/>
                <w:szCs w:val="32"/>
                <w:lang w:eastAsia="zh-CN"/>
              </w:rPr>
              <w:t>3</w:t>
            </w:r>
          </w:p>
        </w:tc>
        <w:tc>
          <w:tcPr>
            <w:tcW w:w="63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kern w:val="0"/>
                <w:sz w:val="32"/>
                <w:szCs w:val="32"/>
                <w:lang w:eastAsia="zh-CN"/>
              </w:rPr>
            </w:pPr>
          </w:p>
        </w:tc>
      </w:tr>
    </w:tbl>
    <w:p>
      <w:pPr>
        <w:jc w:val="center"/>
        <w:rPr>
          <w:rFonts w:ascii="黑体" w:hAnsi="黑体" w:eastAsia="黑体"/>
          <w:sz w:val="36"/>
          <w:szCs w:val="36"/>
        </w:rPr>
      </w:pPr>
      <w:r>
        <w:rPr>
          <w:rFonts w:hint="eastAsia" w:ascii="黑体" w:hAnsi="黑体" w:eastAsia="黑体"/>
          <w:sz w:val="36"/>
          <w:szCs w:val="36"/>
        </w:rPr>
        <w:t>第二部分</w:t>
      </w:r>
      <w:r>
        <w:rPr>
          <w:rFonts w:hint="eastAsia" w:ascii="黑体" w:hAnsi="黑体" w:eastAsia="黑体"/>
          <w:sz w:val="36"/>
          <w:szCs w:val="36"/>
        </w:rPr>
        <w:tab/>
      </w:r>
      <w:r>
        <w:rPr>
          <w:rFonts w:hint="eastAsia" w:ascii="黑体" w:hAnsi="黑体" w:eastAsia="黑体" w:cs="方正小标宋简体"/>
          <w:sz w:val="36"/>
          <w:szCs w:val="36"/>
        </w:rPr>
        <w:t>中国共产党格尔木市纪律检查委员会</w:t>
      </w:r>
    </w:p>
    <w:p>
      <w:pPr>
        <w:jc w:val="center"/>
        <w:rPr>
          <w:rFonts w:ascii="黑体" w:hAnsi="黑体" w:eastAsia="黑体"/>
          <w:sz w:val="36"/>
          <w:szCs w:val="36"/>
        </w:rPr>
      </w:pPr>
      <w:r>
        <w:rPr>
          <w:rFonts w:hint="eastAsia" w:ascii="黑体" w:hAnsi="黑体" w:eastAsia="黑体"/>
          <w:sz w:val="36"/>
          <w:szCs w:val="36"/>
        </w:rPr>
        <w:t xml:space="preserve">       2019年部门预算表</w:t>
      </w:r>
    </w:p>
    <w:p>
      <w:pPr>
        <w:jc w:val="right"/>
        <w:rPr>
          <w:rFonts w:ascii="宋体" w:hAnsi="宋体" w:eastAsia="宋体"/>
          <w:b/>
          <w:sz w:val="20"/>
          <w:szCs w:val="20"/>
        </w:rPr>
      </w:pPr>
    </w:p>
    <w:p>
      <w:pPr>
        <w:jc w:val="right"/>
        <w:rPr>
          <w:rFonts w:ascii="宋体" w:hAnsi="宋体" w:eastAsia="宋体"/>
          <w:b/>
          <w:sz w:val="20"/>
          <w:szCs w:val="20"/>
        </w:rPr>
      </w:pPr>
      <w:r>
        <w:rPr>
          <w:rFonts w:hint="eastAsia" w:ascii="宋体" w:hAnsi="宋体" w:eastAsia="宋体"/>
          <w:b/>
          <w:sz w:val="20"/>
          <w:szCs w:val="20"/>
        </w:rPr>
        <w:t xml:space="preserve">   部门公开表 1</w:t>
      </w:r>
    </w:p>
    <w:p/>
    <w:p>
      <w:pPr>
        <w:jc w:val="center"/>
        <w:rPr>
          <w:rFonts w:ascii="宋体" w:hAnsi="宋体" w:eastAsia="宋体"/>
          <w:b/>
          <w:sz w:val="44"/>
          <w:szCs w:val="44"/>
        </w:rPr>
      </w:pPr>
      <w:r>
        <w:rPr>
          <w:rFonts w:hint="eastAsia" w:ascii="宋体" w:hAnsi="宋体" w:eastAsia="宋体"/>
          <w:b/>
          <w:sz w:val="44"/>
          <w:szCs w:val="44"/>
        </w:rPr>
        <w:t>财政拨款收支总表</w:t>
      </w:r>
    </w:p>
    <w:p>
      <w:pPr>
        <w:wordWrap w:val="0"/>
        <w:jc w:val="right"/>
        <w:rPr>
          <w:rFonts w:ascii="宋体" w:hAnsi="宋体" w:eastAsia="宋体"/>
          <w:b/>
          <w:sz w:val="20"/>
          <w:szCs w:val="20"/>
        </w:rPr>
      </w:pPr>
      <w:r>
        <w:rPr>
          <w:rFonts w:hint="eastAsia" w:ascii="宋体" w:hAnsi="宋体" w:eastAsia="宋体"/>
          <w:b/>
          <w:sz w:val="20"/>
          <w:szCs w:val="20"/>
        </w:rPr>
        <w:t>单位：万元</w:t>
      </w:r>
    </w:p>
    <w:p>
      <w:pPr>
        <w:jc w:val="right"/>
        <w:rPr>
          <w:rFonts w:ascii="宋体" w:hAnsi="宋体" w:eastAsia="宋体"/>
          <w:b/>
          <w:sz w:val="20"/>
          <w:szCs w:val="20"/>
        </w:rPr>
      </w:pPr>
      <w:r>
        <w:rPr>
          <w:rFonts w:ascii="宋体" w:hAnsi="宋体" w:eastAsia="宋体"/>
          <w:b/>
          <w:sz w:val="20"/>
          <w:szCs w:val="20"/>
        </w:rPr>
        <w:drawing>
          <wp:anchor distT="0" distB="0" distL="114300" distR="114300" simplePos="0" relativeHeight="251673600" behindDoc="0" locked="0" layoutInCell="1" allowOverlap="1">
            <wp:simplePos x="0" y="0"/>
            <wp:positionH relativeFrom="column">
              <wp:posOffset>-215265</wp:posOffset>
            </wp:positionH>
            <wp:positionV relativeFrom="paragraph">
              <wp:posOffset>33020</wp:posOffset>
            </wp:positionV>
            <wp:extent cx="5909310" cy="6588760"/>
            <wp:effectExtent l="38100" t="19050" r="15189" b="21826"/>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6"/>
                    <a:srcRect/>
                    <a:stretch>
                      <a:fillRect/>
                    </a:stretch>
                  </pic:blipFill>
                  <pic:spPr>
                    <a:xfrm>
                      <a:off x="0" y="0"/>
                      <a:ext cx="5918182" cy="6598359"/>
                    </a:xfrm>
                    <a:prstGeom prst="rect">
                      <a:avLst/>
                    </a:prstGeom>
                    <a:solidFill>
                      <a:srgbClr val="FFFFFF"/>
                    </a:solidFill>
                    <a:ln w="9525">
                      <a:solidFill>
                        <a:srgbClr val="000000"/>
                      </a:solidFill>
                      <a:miter lim="800000"/>
                      <a:headEnd/>
                      <a:tailEnd/>
                    </a:ln>
                  </pic:spPr>
                </pic:pic>
              </a:graphicData>
            </a:graphic>
          </wp:anchor>
        </w:drawing>
      </w: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r>
        <w:rPr>
          <w:rFonts w:hint="eastAsia" w:ascii="宋体" w:hAnsi="宋体" w:eastAsia="宋体"/>
          <w:b/>
          <w:sz w:val="20"/>
          <w:szCs w:val="20"/>
        </w:rPr>
        <w:t>部门公开表 2</w:t>
      </w:r>
    </w:p>
    <w:p/>
    <w:p>
      <w:pPr>
        <w:jc w:val="center"/>
        <w:rPr>
          <w:rFonts w:ascii="宋体" w:hAnsi="宋体" w:eastAsia="宋体"/>
          <w:b/>
          <w:sz w:val="44"/>
          <w:szCs w:val="44"/>
        </w:rPr>
      </w:pPr>
      <w:r>
        <w:rPr>
          <w:rFonts w:hint="eastAsia" w:ascii="宋体" w:hAnsi="宋体" w:eastAsia="宋体"/>
          <w:b/>
          <w:sz w:val="44"/>
          <w:szCs w:val="44"/>
        </w:rPr>
        <w:t>一般公共预算支出表</w:t>
      </w:r>
    </w:p>
    <w:p>
      <w:pPr>
        <w:jc w:val="right"/>
        <w:rPr>
          <w:rFonts w:ascii="宋体" w:hAnsi="宋体" w:eastAsia="宋体"/>
          <w:b/>
          <w:sz w:val="20"/>
          <w:szCs w:val="20"/>
        </w:rPr>
      </w:pPr>
      <w:r>
        <w:rPr>
          <w:rFonts w:hint="eastAsia" w:ascii="宋体" w:hAnsi="宋体" w:eastAsia="宋体"/>
          <w:b/>
          <w:sz w:val="20"/>
          <w:szCs w:val="20"/>
        </w:rPr>
        <w:t>单位：万元</w:t>
      </w:r>
    </w:p>
    <w:p>
      <w:r>
        <w:drawing>
          <wp:anchor distT="0" distB="0" distL="114300" distR="114300" simplePos="0" relativeHeight="251676672" behindDoc="0" locked="0" layoutInCell="1" allowOverlap="1">
            <wp:simplePos x="0" y="0"/>
            <wp:positionH relativeFrom="column">
              <wp:posOffset>20320</wp:posOffset>
            </wp:positionH>
            <wp:positionV relativeFrom="paragraph">
              <wp:posOffset>120015</wp:posOffset>
            </wp:positionV>
            <wp:extent cx="5614035" cy="6035675"/>
            <wp:effectExtent l="38100" t="19050" r="24824" b="22432"/>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7"/>
                    <a:srcRect/>
                    <a:stretch>
                      <a:fillRect/>
                    </a:stretch>
                  </pic:blipFill>
                  <pic:spPr>
                    <a:xfrm>
                      <a:off x="0" y="0"/>
                      <a:ext cx="5615305" cy="6036897"/>
                    </a:xfrm>
                    <a:prstGeom prst="rect">
                      <a:avLst/>
                    </a:prstGeom>
                    <a:solidFill>
                      <a:srgbClr val="FFFFFF"/>
                    </a:solidFill>
                    <a:ln w="9525">
                      <a:solidFill>
                        <a:srgbClr val="000000"/>
                      </a:solidFill>
                      <a:miter lim="800000"/>
                      <a:headEnd/>
                      <a:tailEnd/>
                    </a:ln>
                  </pic:spPr>
                </pic:pic>
              </a:graphicData>
            </a:graphic>
          </wp:anchor>
        </w:drawing>
      </w:r>
    </w:p>
    <w:p/>
    <w:p/>
    <w:p/>
    <w:p/>
    <w:p/>
    <w:p/>
    <w:p/>
    <w:p/>
    <w:p/>
    <w:p/>
    <w:p/>
    <w:p/>
    <w:p/>
    <w:p/>
    <w:p/>
    <w:p/>
    <w:p/>
    <w:p/>
    <w:p/>
    <w:p/>
    <w:p/>
    <w:p/>
    <w:p/>
    <w:p/>
    <w:p/>
    <w:p/>
    <w:p/>
    <w:p/>
    <w:p/>
    <w:p/>
    <w:p/>
    <w:p/>
    <w:p/>
    <w:p/>
    <w:p/>
    <w:p/>
    <w:p>
      <w:pPr>
        <w:jc w:val="center"/>
        <w:rPr>
          <w:rFonts w:ascii="宋体" w:hAnsi="宋体" w:eastAsia="宋体"/>
          <w:b/>
          <w:sz w:val="20"/>
          <w:szCs w:val="20"/>
        </w:rPr>
      </w:pPr>
      <w:r>
        <w:rPr>
          <w:rFonts w:hint="eastAsia" w:ascii="宋体" w:hAnsi="宋体" w:eastAsia="宋体"/>
          <w:b/>
          <w:sz w:val="20"/>
          <w:szCs w:val="20"/>
          <w:lang w:val="en-US" w:eastAsia="zh-CN"/>
        </w:rPr>
        <w:t xml:space="preserve">                                                                    </w:t>
      </w:r>
      <w:r>
        <w:rPr>
          <w:rFonts w:hint="eastAsia" w:ascii="宋体" w:hAnsi="宋体" w:eastAsia="宋体"/>
          <w:b/>
          <w:sz w:val="20"/>
          <w:szCs w:val="20"/>
        </w:rPr>
        <w:t>部门公开表 3</w:t>
      </w:r>
    </w:p>
    <w:p/>
    <w:p>
      <w:pPr>
        <w:jc w:val="center"/>
        <w:rPr>
          <w:rFonts w:ascii="宋体" w:hAnsi="宋体" w:eastAsia="宋体"/>
          <w:b/>
          <w:sz w:val="44"/>
          <w:szCs w:val="44"/>
        </w:rPr>
      </w:pPr>
      <w:r>
        <w:rPr>
          <w:rFonts w:hint="eastAsia" w:ascii="宋体" w:hAnsi="宋体" w:eastAsia="宋体"/>
          <w:b/>
          <w:sz w:val="44"/>
          <w:szCs w:val="44"/>
        </w:rPr>
        <w:t>一般公共预算基本支出表</w:t>
      </w:r>
    </w:p>
    <w:p>
      <w:pPr>
        <w:ind w:firstLine="7429" w:firstLineChars="3700"/>
        <w:jc w:val="both"/>
        <w:rPr>
          <w:rFonts w:ascii="宋体" w:hAnsi="宋体" w:eastAsia="宋体"/>
          <w:b/>
          <w:sz w:val="20"/>
          <w:szCs w:val="20"/>
        </w:rPr>
      </w:pPr>
      <w:r>
        <w:rPr>
          <w:rFonts w:hint="eastAsia" w:ascii="宋体" w:hAnsi="宋体" w:eastAsia="宋体"/>
          <w:b/>
          <w:sz w:val="20"/>
          <w:szCs w:val="20"/>
        </w:rPr>
        <w:t>单位：万元</w:t>
      </w:r>
    </w:p>
    <w:p/>
    <w:tbl>
      <w:tblPr>
        <w:tblW w:w="8490" w:type="dxa"/>
        <w:tblInd w:w="0" w:type="dxa"/>
        <w:shd w:val="clear"/>
        <w:tblLayout w:type="fixed"/>
        <w:tblCellMar>
          <w:top w:w="0" w:type="dxa"/>
          <w:left w:w="0" w:type="dxa"/>
          <w:bottom w:w="0" w:type="dxa"/>
          <w:right w:w="0" w:type="dxa"/>
        </w:tblCellMar>
      </w:tblPr>
      <w:tblGrid>
        <w:gridCol w:w="810"/>
        <w:gridCol w:w="580"/>
        <w:gridCol w:w="3230"/>
        <w:gridCol w:w="630"/>
        <w:gridCol w:w="1159"/>
        <w:gridCol w:w="2081"/>
      </w:tblGrid>
      <w:tr>
        <w:tblPrEx>
          <w:shd w:val="clear"/>
          <w:tblLayout w:type="fixed"/>
          <w:tblCellMar>
            <w:top w:w="0" w:type="dxa"/>
            <w:left w:w="0" w:type="dxa"/>
            <w:bottom w:w="0" w:type="dxa"/>
            <w:right w:w="0" w:type="dxa"/>
          </w:tblCellMar>
        </w:tblPrEx>
        <w:trPr>
          <w:trHeight w:val="465" w:hRule="atLeast"/>
        </w:trPr>
        <w:tc>
          <w:tcPr>
            <w:tcW w:w="4620" w:type="dxa"/>
            <w:gridSpan w:val="3"/>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经济分类科目</w:t>
            </w:r>
          </w:p>
        </w:tc>
        <w:tc>
          <w:tcPr>
            <w:tcW w:w="3870" w:type="dxa"/>
            <w:gridSpan w:val="3"/>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2019年基本支出</w:t>
            </w:r>
          </w:p>
        </w:tc>
      </w:tr>
      <w:tr>
        <w:tblPrEx>
          <w:tblLayout w:type="fixed"/>
          <w:tblCellMar>
            <w:top w:w="0" w:type="dxa"/>
            <w:left w:w="0" w:type="dxa"/>
            <w:bottom w:w="0" w:type="dxa"/>
            <w:right w:w="0" w:type="dxa"/>
          </w:tblCellMar>
        </w:tblPrEx>
        <w:trPr>
          <w:trHeight w:val="225" w:hRule="atLeast"/>
        </w:trPr>
        <w:tc>
          <w:tcPr>
            <w:tcW w:w="139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科目编码</w:t>
            </w:r>
          </w:p>
        </w:tc>
        <w:tc>
          <w:tcPr>
            <w:tcW w:w="323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科目名称</w:t>
            </w:r>
          </w:p>
        </w:tc>
        <w:tc>
          <w:tcPr>
            <w:tcW w:w="63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15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人员经费</w:t>
            </w:r>
          </w:p>
        </w:tc>
        <w:tc>
          <w:tcPr>
            <w:tcW w:w="208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公用经费</w:t>
            </w:r>
          </w:p>
        </w:tc>
      </w:tr>
      <w:tr>
        <w:tblPrEx>
          <w:tblLayout w:type="fixed"/>
          <w:tblCellMar>
            <w:top w:w="0" w:type="dxa"/>
            <w:left w:w="0" w:type="dxa"/>
            <w:bottom w:w="0" w:type="dxa"/>
            <w:right w:w="0" w:type="dxa"/>
          </w:tblCellMar>
        </w:tblPrEx>
        <w:trPr>
          <w:trHeight w:val="225"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类</w:t>
            </w:r>
          </w:p>
        </w:tc>
        <w:tc>
          <w:tcPr>
            <w:tcW w:w="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款</w:t>
            </w:r>
          </w:p>
        </w:tc>
        <w:tc>
          <w:tcPr>
            <w:tcW w:w="323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927.05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808.95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118.10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中国共产党格尔木市纪律检查委员会</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927.05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808.95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118.10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工资福利支出</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794.42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794.42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w:t>
            </w:r>
          </w:p>
        </w:tc>
        <w:tc>
          <w:tcPr>
            <w:tcW w:w="3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基本工资</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128.66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128.66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津贴补贴</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255.59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255.59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奖金</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35.48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35.48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08</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机关事业单位基本养老保险</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64.85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64.85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职工基本医疗保险费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27.67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27.67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公务员医疗补助缴费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41.51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41.51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其他社会保障缴费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3.55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3.55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住房公积金</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55.35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55.35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其他工资福利支出</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181.76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181.76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商品和服务支出</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118.10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118.10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办公费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55.00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55.00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印刷费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07</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邮电费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差旅费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会议费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培训费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公务接待费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公务用车运行维护费</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25.20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25.20 </w:t>
            </w: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对个人和家庭的补助</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14.53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14.53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07</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医疗费补助</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14.45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14.45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09</w:t>
            </w:r>
          </w:p>
        </w:tc>
        <w:tc>
          <w:tcPr>
            <w:tcW w:w="32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奖励金</w:t>
            </w:r>
          </w:p>
        </w:tc>
        <w:tc>
          <w:tcPr>
            <w:tcW w:w="6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0.08 </w:t>
            </w:r>
          </w:p>
        </w:tc>
        <w:tc>
          <w:tcPr>
            <w:tcW w:w="11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0.08 </w:t>
            </w:r>
          </w:p>
        </w:tc>
        <w:tc>
          <w:tcPr>
            <w:tcW w:w="208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
    <w:p/>
    <w:p/>
    <w:p/>
    <w:p>
      <w:pPr>
        <w:ind w:firstLine="7630" w:firstLineChars="3800"/>
        <w:jc w:val="both"/>
        <w:rPr>
          <w:rFonts w:ascii="宋体" w:hAnsi="宋体" w:eastAsia="宋体"/>
          <w:b/>
          <w:sz w:val="20"/>
          <w:szCs w:val="20"/>
        </w:rPr>
      </w:pPr>
      <w:r>
        <w:rPr>
          <w:rFonts w:hint="eastAsia" w:ascii="宋体" w:hAnsi="宋体" w:eastAsia="宋体"/>
          <w:b/>
          <w:sz w:val="20"/>
          <w:szCs w:val="20"/>
        </w:rPr>
        <w:t>部门公开表 4</w:t>
      </w:r>
    </w:p>
    <w:p/>
    <w:p>
      <w:pPr>
        <w:jc w:val="center"/>
        <w:rPr>
          <w:rFonts w:ascii="宋体" w:hAnsi="宋体" w:eastAsia="宋体"/>
          <w:b/>
          <w:sz w:val="44"/>
          <w:szCs w:val="44"/>
        </w:rPr>
      </w:pPr>
      <w:r>
        <w:rPr>
          <w:rFonts w:hint="eastAsia" w:ascii="宋体" w:hAnsi="宋体" w:eastAsia="宋体"/>
          <w:b/>
          <w:sz w:val="44"/>
          <w:szCs w:val="44"/>
        </w:rPr>
        <w:t>一般公共预算“三公”经费支出表</w:t>
      </w:r>
    </w:p>
    <w:p>
      <w:pPr>
        <w:jc w:val="right"/>
        <w:rPr>
          <w:rFonts w:ascii="宋体" w:hAnsi="宋体" w:eastAsia="宋体"/>
          <w:b/>
          <w:sz w:val="20"/>
          <w:szCs w:val="20"/>
        </w:rPr>
      </w:pPr>
      <w:r>
        <w:rPr>
          <w:rFonts w:hint="eastAsia" w:ascii="宋体" w:hAnsi="宋体" w:eastAsia="宋体"/>
          <w:b/>
          <w:sz w:val="20"/>
          <w:szCs w:val="20"/>
        </w:rPr>
        <w:t>单位：万元</w:t>
      </w:r>
    </w:p>
    <w:p>
      <w:r>
        <w:rPr>
          <w:rFonts w:hint="eastAsia"/>
        </w:rPr>
        <w:drawing>
          <wp:anchor distT="0" distB="0" distL="114300" distR="114300" simplePos="0" relativeHeight="251661312" behindDoc="0" locked="0" layoutInCell="1" allowOverlap="1">
            <wp:simplePos x="0" y="0"/>
            <wp:positionH relativeFrom="column">
              <wp:posOffset>-114935</wp:posOffset>
            </wp:positionH>
            <wp:positionV relativeFrom="paragraph">
              <wp:posOffset>151765</wp:posOffset>
            </wp:positionV>
            <wp:extent cx="5753100" cy="1358265"/>
            <wp:effectExtent l="19050" t="19050" r="18991" b="13256"/>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srcRect/>
                    <a:stretch>
                      <a:fillRect/>
                    </a:stretch>
                  </pic:blipFill>
                  <pic:spPr>
                    <a:xfrm>
                      <a:off x="0" y="0"/>
                      <a:ext cx="5736688" cy="1354455"/>
                    </a:xfrm>
                    <a:prstGeom prst="rect">
                      <a:avLst/>
                    </a:prstGeom>
                    <a:solidFill>
                      <a:srgbClr val="FFFFFF"/>
                    </a:solidFill>
                    <a:ln w="9525">
                      <a:solidFill>
                        <a:srgbClr val="000000"/>
                      </a:solidFill>
                      <a:miter lim="800000"/>
                      <a:headEnd/>
                      <a:tailEnd/>
                    </a:ln>
                  </pic:spPr>
                </pic:pic>
              </a:graphicData>
            </a:graphic>
          </wp:anchor>
        </w:drawing>
      </w:r>
    </w:p>
    <w:p/>
    <w:p/>
    <w:p/>
    <w:p/>
    <w:p/>
    <w:p/>
    <w:p/>
    <w:p/>
    <w:p/>
    <w:p>
      <w:pPr>
        <w:rPr>
          <w:rFonts w:hint="eastAsia"/>
        </w:rPr>
      </w:pPr>
    </w:p>
    <w:p>
      <w:pPr>
        <w:rPr>
          <w:rFonts w:hint="eastAsia"/>
        </w:rPr>
      </w:pPr>
    </w:p>
    <w:p>
      <w:pPr>
        <w:rPr>
          <w:rFonts w:hint="eastAsia"/>
        </w:rPr>
      </w:pPr>
    </w:p>
    <w:p/>
    <w:p>
      <w:pPr>
        <w:jc w:val="right"/>
        <w:rPr>
          <w:rFonts w:ascii="宋体" w:hAnsi="宋体" w:eastAsia="宋体"/>
          <w:b/>
          <w:sz w:val="20"/>
          <w:szCs w:val="20"/>
        </w:rPr>
      </w:pPr>
      <w:r>
        <w:rPr>
          <w:rFonts w:hint="eastAsia" w:ascii="宋体" w:hAnsi="宋体" w:eastAsia="宋体"/>
          <w:b/>
          <w:sz w:val="20"/>
          <w:szCs w:val="20"/>
        </w:rPr>
        <w:t>部门公开表 5</w:t>
      </w:r>
    </w:p>
    <w:p/>
    <w:p>
      <w:pPr>
        <w:jc w:val="center"/>
        <w:rPr>
          <w:rFonts w:ascii="宋体" w:hAnsi="宋体" w:eastAsia="宋体"/>
          <w:b/>
          <w:sz w:val="44"/>
          <w:szCs w:val="44"/>
        </w:rPr>
      </w:pPr>
      <w:r>
        <w:rPr>
          <w:rFonts w:hint="eastAsia" w:ascii="宋体" w:hAnsi="宋体" w:eastAsia="宋体"/>
          <w:b/>
          <w:sz w:val="44"/>
          <w:szCs w:val="44"/>
        </w:rPr>
        <w:t>政府性基金预算支出表</w:t>
      </w:r>
    </w:p>
    <w:p>
      <w:pPr>
        <w:jc w:val="right"/>
        <w:rPr>
          <w:rFonts w:ascii="宋体" w:hAnsi="宋体" w:eastAsia="宋体"/>
          <w:b/>
          <w:sz w:val="20"/>
          <w:szCs w:val="20"/>
        </w:rPr>
      </w:pPr>
      <w:r>
        <w:rPr>
          <w:rFonts w:hint="eastAsia" w:ascii="宋体" w:hAnsi="宋体" w:eastAsia="宋体"/>
          <w:b/>
          <w:sz w:val="20"/>
          <w:szCs w:val="20"/>
        </w:rPr>
        <w:t>单位：万元</w:t>
      </w:r>
    </w:p>
    <w:p>
      <w:r>
        <w:drawing>
          <wp:anchor distT="0" distB="0" distL="114300" distR="114300" simplePos="0" relativeHeight="251677696" behindDoc="0" locked="0" layoutInCell="1" allowOverlap="1">
            <wp:simplePos x="0" y="0"/>
            <wp:positionH relativeFrom="column">
              <wp:posOffset>-43180</wp:posOffset>
            </wp:positionH>
            <wp:positionV relativeFrom="paragraph">
              <wp:posOffset>161925</wp:posOffset>
            </wp:positionV>
            <wp:extent cx="5752465" cy="1974850"/>
            <wp:effectExtent l="19050" t="19050" r="19685" b="25400"/>
            <wp:wrapNone/>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9"/>
                    <a:srcRect/>
                    <a:stretch>
                      <a:fillRect/>
                    </a:stretch>
                  </pic:blipFill>
                  <pic:spPr>
                    <a:xfrm>
                      <a:off x="0" y="0"/>
                      <a:ext cx="5752465" cy="1974850"/>
                    </a:xfrm>
                    <a:prstGeom prst="rect">
                      <a:avLst/>
                    </a:prstGeom>
                    <a:solidFill>
                      <a:srgbClr val="FFFFFF"/>
                    </a:solidFill>
                    <a:ln w="9525">
                      <a:solidFill>
                        <a:srgbClr val="000000"/>
                      </a:solidFill>
                      <a:miter lim="800000"/>
                      <a:headEnd/>
                      <a:tailEnd/>
                    </a:ln>
                  </pic:spPr>
                </pic:pic>
              </a:graphicData>
            </a:graphic>
          </wp:anchor>
        </w:drawing>
      </w:r>
    </w:p>
    <w:p/>
    <w:p/>
    <w:p/>
    <w:p/>
    <w:p/>
    <w:p/>
    <w:p/>
    <w:p/>
    <w:p/>
    <w:p/>
    <w:p/>
    <w:p/>
    <w:p/>
    <w:p/>
    <w:p/>
    <w:p/>
    <w:p/>
    <w:p>
      <w:pPr>
        <w:jc w:val="right"/>
        <w:rPr>
          <w:rFonts w:ascii="宋体" w:hAnsi="宋体" w:eastAsia="宋体"/>
          <w:b/>
          <w:sz w:val="20"/>
          <w:szCs w:val="20"/>
        </w:rPr>
      </w:pPr>
      <w:r>
        <w:rPr>
          <w:rFonts w:hint="eastAsia" w:ascii="宋体" w:hAnsi="宋体" w:eastAsia="宋体"/>
          <w:b/>
          <w:sz w:val="20"/>
          <w:szCs w:val="20"/>
        </w:rPr>
        <w:t>部门公开表 6</w:t>
      </w:r>
    </w:p>
    <w:p>
      <w:pPr>
        <w:jc w:val="center"/>
        <w:rPr>
          <w:rFonts w:ascii="宋体" w:hAnsi="宋体" w:eastAsia="宋体"/>
          <w:b/>
          <w:sz w:val="44"/>
          <w:szCs w:val="44"/>
        </w:rPr>
      </w:pPr>
      <w:r>
        <w:rPr>
          <w:rFonts w:hint="eastAsia" w:ascii="宋体" w:hAnsi="宋体" w:eastAsia="宋体"/>
          <w:b/>
          <w:sz w:val="44"/>
          <w:szCs w:val="44"/>
        </w:rPr>
        <w:t>部门收支总表</w:t>
      </w:r>
    </w:p>
    <w:p>
      <w:pPr>
        <w:jc w:val="right"/>
        <w:rPr>
          <w:rFonts w:ascii="宋体" w:hAnsi="宋体" w:eastAsia="宋体"/>
          <w:b/>
          <w:sz w:val="20"/>
          <w:szCs w:val="20"/>
        </w:rPr>
      </w:pPr>
      <w:r>
        <w:rPr>
          <w:rFonts w:hint="eastAsia" w:ascii="宋体" w:hAnsi="宋体" w:eastAsia="宋体"/>
          <w:b/>
          <w:sz w:val="20"/>
          <w:szCs w:val="20"/>
        </w:rPr>
        <w:t>单位：万元</w:t>
      </w:r>
    </w:p>
    <w:p>
      <w:pPr>
        <w:jc w:val="right"/>
        <w:rPr>
          <w:rFonts w:ascii="宋体" w:hAnsi="宋体" w:eastAsia="宋体"/>
          <w:b/>
          <w:sz w:val="20"/>
          <w:szCs w:val="20"/>
        </w:rPr>
      </w:pPr>
      <w:r>
        <w:rPr>
          <w:rFonts w:ascii="宋体" w:hAnsi="宋体" w:eastAsia="宋体"/>
          <w:b/>
          <w:sz w:val="20"/>
          <w:szCs w:val="20"/>
        </w:rPr>
        <w:drawing>
          <wp:anchor distT="0" distB="0" distL="114300" distR="114300" simplePos="0" relativeHeight="251678720" behindDoc="0" locked="0" layoutInCell="1" allowOverlap="1">
            <wp:simplePos x="0" y="0"/>
            <wp:positionH relativeFrom="column">
              <wp:posOffset>5080</wp:posOffset>
            </wp:positionH>
            <wp:positionV relativeFrom="paragraph">
              <wp:posOffset>105410</wp:posOffset>
            </wp:positionV>
            <wp:extent cx="5640070" cy="7406005"/>
            <wp:effectExtent l="19050" t="19050" r="17529" b="23540"/>
            <wp:wrapNone/>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10"/>
                    <a:srcRect/>
                    <a:stretch>
                      <a:fillRect/>
                    </a:stretch>
                  </pic:blipFill>
                  <pic:spPr>
                    <a:xfrm>
                      <a:off x="0" y="0"/>
                      <a:ext cx="5640321" cy="7405960"/>
                    </a:xfrm>
                    <a:prstGeom prst="rect">
                      <a:avLst/>
                    </a:prstGeom>
                    <a:solidFill>
                      <a:srgbClr val="FFFFFF"/>
                    </a:solidFill>
                    <a:ln w="9525">
                      <a:solidFill>
                        <a:srgbClr val="000000"/>
                      </a:solidFill>
                      <a:miter lim="800000"/>
                      <a:headEnd/>
                      <a:tailEnd/>
                    </a:ln>
                  </pic:spPr>
                </pic:pic>
              </a:graphicData>
            </a:graphic>
          </wp:anchor>
        </w:drawing>
      </w: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hint="eastAsia"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p>
    <w:p>
      <w:pPr>
        <w:jc w:val="right"/>
        <w:rPr>
          <w:rFonts w:ascii="宋体" w:hAnsi="宋体" w:eastAsia="宋体"/>
          <w:b/>
          <w:sz w:val="20"/>
          <w:szCs w:val="20"/>
        </w:rPr>
      </w:pPr>
      <w:r>
        <w:rPr>
          <w:rFonts w:hint="eastAsia" w:ascii="宋体" w:hAnsi="宋体" w:eastAsia="宋体"/>
          <w:b/>
          <w:sz w:val="20"/>
          <w:szCs w:val="20"/>
        </w:rPr>
        <w:t>部门公开表 7</w:t>
      </w:r>
    </w:p>
    <w:p/>
    <w:p>
      <w:pPr>
        <w:jc w:val="center"/>
        <w:rPr>
          <w:rFonts w:ascii="宋体" w:hAnsi="宋体" w:eastAsia="宋体"/>
          <w:b/>
          <w:sz w:val="44"/>
          <w:szCs w:val="44"/>
        </w:rPr>
      </w:pPr>
      <w:r>
        <w:rPr>
          <w:rFonts w:hint="eastAsia" w:ascii="宋体" w:hAnsi="宋体" w:eastAsia="宋体"/>
          <w:b/>
          <w:sz w:val="44"/>
          <w:szCs w:val="44"/>
        </w:rPr>
        <w:t>部门收入总表</w:t>
      </w:r>
    </w:p>
    <w:p>
      <w:pPr>
        <w:jc w:val="right"/>
        <w:rPr>
          <w:rFonts w:ascii="宋体" w:hAnsi="宋体" w:eastAsia="宋体"/>
          <w:b/>
          <w:sz w:val="20"/>
          <w:szCs w:val="20"/>
        </w:rPr>
      </w:pPr>
      <w:r>
        <w:rPr>
          <w:rFonts w:hint="eastAsia" w:ascii="宋体" w:hAnsi="宋体" w:eastAsia="宋体"/>
          <w:b/>
          <w:sz w:val="20"/>
          <w:szCs w:val="20"/>
        </w:rPr>
        <w:t>单位：万元</w:t>
      </w:r>
    </w:p>
    <w:p>
      <w:r>
        <w:drawing>
          <wp:inline distT="0" distB="0" distL="114300" distR="114300">
            <wp:extent cx="7524750" cy="5657850"/>
            <wp:effectExtent l="9525" t="9525" r="9525" b="9525"/>
            <wp:docPr id="7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 name="Picture 3"/>
                    <pic:cNvPicPr>
                      <a:picLocks noChangeAspect="1"/>
                    </pic:cNvPicPr>
                  </pic:nvPicPr>
                  <pic:blipFill>
                    <a:blip r:embed="rId11"/>
                    <a:stretch>
                      <a:fillRect/>
                    </a:stretch>
                  </pic:blipFill>
                  <pic:spPr>
                    <a:xfrm>
                      <a:off x="0" y="0"/>
                      <a:ext cx="7524750" cy="5657850"/>
                    </a:xfrm>
                    <a:prstGeom prst="rect">
                      <a:avLst/>
                    </a:prstGeom>
                    <a:solidFill>
                      <a:srgbClr val="FFFFFF">
                        <a:alpha val="100000"/>
                      </a:srgbClr>
                    </a:solidFill>
                    <a:ln w="9525" cap="flat" cmpd="sng">
                      <a:solidFill>
                        <a:srgbClr val="000000"/>
                      </a:solidFill>
                      <a:prstDash val="solid"/>
                      <a:miter/>
                      <a:headEnd type="none" w="med" len="med"/>
                      <a:tailEnd type="none" w="med" len="med"/>
                    </a:ln>
                  </pic:spPr>
                </pic:pic>
              </a:graphicData>
            </a:graphic>
          </wp:inline>
        </w:drawing>
      </w:r>
    </w:p>
    <w:p/>
    <w:p>
      <w:bookmarkStart w:id="0" w:name="_GoBack"/>
      <w:bookmarkEnd w:id="0"/>
    </w:p>
    <w:p/>
    <w:p/>
    <w:p/>
    <w:p/>
    <w:p/>
    <w:p/>
    <w:p/>
    <w:p/>
    <w:p/>
    <w:p/>
    <w:p/>
    <w:p/>
    <w:p/>
    <w:p/>
    <w:p/>
    <w:p/>
    <w:p/>
    <w:p/>
    <w:p/>
    <w:p/>
    <w:p/>
    <w:p/>
    <w:p/>
    <w:p/>
    <w:p/>
    <w:p/>
    <w:p/>
    <w:p/>
    <w:p/>
    <w:p/>
    <w:p/>
    <w:p/>
    <w:p/>
    <w:p/>
    <w:p>
      <w:pPr>
        <w:jc w:val="right"/>
        <w:rPr>
          <w:rFonts w:ascii="宋体" w:hAnsi="宋体" w:eastAsia="宋体"/>
          <w:b/>
          <w:sz w:val="20"/>
          <w:szCs w:val="20"/>
        </w:rPr>
      </w:pPr>
      <w:r>
        <w:rPr>
          <w:rFonts w:hint="eastAsia" w:ascii="宋体" w:hAnsi="宋体" w:eastAsia="宋体"/>
          <w:b/>
          <w:sz w:val="20"/>
          <w:szCs w:val="20"/>
        </w:rPr>
        <w:t>部门公开表 8</w:t>
      </w:r>
    </w:p>
    <w:p/>
    <w:p>
      <w:pPr>
        <w:jc w:val="center"/>
        <w:rPr>
          <w:rFonts w:ascii="宋体" w:hAnsi="宋体" w:eastAsia="宋体"/>
          <w:b/>
          <w:sz w:val="44"/>
          <w:szCs w:val="44"/>
        </w:rPr>
      </w:pPr>
      <w:r>
        <w:rPr>
          <w:rFonts w:hint="eastAsia" w:ascii="宋体" w:hAnsi="宋体" w:eastAsia="宋体"/>
          <w:b/>
          <w:sz w:val="44"/>
          <w:szCs w:val="44"/>
        </w:rPr>
        <w:t>部门支出总表</w:t>
      </w:r>
    </w:p>
    <w:p>
      <w:pPr>
        <w:jc w:val="right"/>
        <w:rPr>
          <w:rFonts w:ascii="宋体" w:hAnsi="宋体" w:eastAsia="宋体"/>
          <w:b/>
          <w:sz w:val="20"/>
          <w:szCs w:val="20"/>
        </w:rPr>
      </w:pPr>
      <w:r>
        <w:rPr>
          <w:rFonts w:hint="eastAsia" w:ascii="宋体" w:hAnsi="宋体" w:eastAsia="宋体"/>
          <w:b/>
          <w:sz w:val="20"/>
          <w:szCs w:val="20"/>
        </w:rPr>
        <w:t>单位：万元</w:t>
      </w:r>
    </w:p>
    <w:p>
      <w:r>
        <w:drawing>
          <wp:anchor distT="0" distB="0" distL="114300" distR="114300" simplePos="0" relativeHeight="251680768" behindDoc="0" locked="0" layoutInCell="1" allowOverlap="1">
            <wp:simplePos x="0" y="0"/>
            <wp:positionH relativeFrom="column">
              <wp:posOffset>-180975</wp:posOffset>
            </wp:positionH>
            <wp:positionV relativeFrom="paragraph">
              <wp:posOffset>66675</wp:posOffset>
            </wp:positionV>
            <wp:extent cx="5856605" cy="6411595"/>
            <wp:effectExtent l="19050" t="19050" r="10618" b="27320"/>
            <wp:wrapNone/>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12"/>
                    <a:srcRect/>
                    <a:stretch>
                      <a:fillRect/>
                    </a:stretch>
                  </pic:blipFill>
                  <pic:spPr>
                    <a:xfrm>
                      <a:off x="0" y="0"/>
                      <a:ext cx="5856782" cy="6411580"/>
                    </a:xfrm>
                    <a:prstGeom prst="rect">
                      <a:avLst/>
                    </a:prstGeom>
                    <a:solidFill>
                      <a:srgbClr val="FFFFFF"/>
                    </a:solidFill>
                    <a:ln w="9525">
                      <a:solidFill>
                        <a:srgbClr val="000000"/>
                      </a:solidFill>
                      <a:miter lim="800000"/>
                      <a:headEnd/>
                      <a:tailEnd/>
                    </a:ln>
                  </pic:spPr>
                </pic:pic>
              </a:graphicData>
            </a:graphic>
          </wp:anchor>
        </w:drawing>
      </w:r>
    </w:p>
    <w:p/>
    <w:p/>
    <w:p/>
    <w:p/>
    <w:p/>
    <w:p/>
    <w:p/>
    <w:p/>
    <w:p/>
    <w:p/>
    <w:p/>
    <w:p/>
    <w:p/>
    <w:p/>
    <w:p/>
    <w:p/>
    <w:p/>
    <w:p/>
    <w:p/>
    <w:p/>
    <w:p/>
    <w:p/>
    <w:p/>
    <w:p/>
    <w:p/>
    <w:p/>
    <w:p/>
    <w:p/>
    <w:p/>
    <w:p/>
    <w:p/>
    <w:p/>
    <w:p/>
    <w:p/>
    <w:p/>
    <w:p/>
    <w:p>
      <w:pPr>
        <w:jc w:val="right"/>
        <w:rPr>
          <w:rFonts w:ascii="宋体" w:hAnsi="宋体" w:eastAsia="宋体"/>
          <w:b/>
          <w:sz w:val="20"/>
          <w:szCs w:val="20"/>
        </w:rPr>
      </w:pPr>
      <w:r>
        <w:rPr>
          <w:rFonts w:hint="eastAsia" w:ascii="宋体" w:hAnsi="宋体" w:eastAsia="宋体"/>
          <w:b/>
          <w:sz w:val="20"/>
          <w:szCs w:val="20"/>
        </w:rPr>
        <w:t>部门公开表 9</w:t>
      </w:r>
    </w:p>
    <w:p/>
    <w:p>
      <w:pPr>
        <w:jc w:val="center"/>
        <w:rPr>
          <w:rFonts w:ascii="宋体" w:hAnsi="宋体" w:eastAsia="宋体"/>
          <w:b/>
          <w:sz w:val="44"/>
          <w:szCs w:val="44"/>
        </w:rPr>
      </w:pPr>
      <w:r>
        <w:rPr>
          <w:rFonts w:hint="eastAsia" w:ascii="宋体" w:hAnsi="宋体" w:eastAsia="宋体"/>
          <w:b/>
          <w:sz w:val="44"/>
          <w:szCs w:val="44"/>
        </w:rPr>
        <w:t>部门项目支出表</w:t>
      </w:r>
    </w:p>
    <w:p>
      <w:pPr>
        <w:jc w:val="right"/>
        <w:rPr>
          <w:rFonts w:ascii="宋体" w:hAnsi="宋体" w:eastAsia="宋体"/>
          <w:b/>
          <w:sz w:val="20"/>
          <w:szCs w:val="20"/>
        </w:rPr>
      </w:pPr>
      <w:r>
        <w:rPr>
          <w:rFonts w:hint="eastAsia" w:ascii="宋体" w:hAnsi="宋体" w:eastAsia="宋体"/>
          <w:b/>
          <w:sz w:val="20"/>
          <w:szCs w:val="20"/>
        </w:rPr>
        <w:t>单位：万元</w:t>
      </w:r>
    </w:p>
    <w:p>
      <w:r>
        <w:drawing>
          <wp:anchor distT="0" distB="0" distL="114300" distR="114300" simplePos="0" relativeHeight="251681792" behindDoc="0" locked="0" layoutInCell="1" allowOverlap="1">
            <wp:simplePos x="0" y="0"/>
            <wp:positionH relativeFrom="column">
              <wp:posOffset>-308610</wp:posOffset>
            </wp:positionH>
            <wp:positionV relativeFrom="paragraph">
              <wp:posOffset>87630</wp:posOffset>
            </wp:positionV>
            <wp:extent cx="5984875" cy="3011170"/>
            <wp:effectExtent l="19050" t="19050" r="15742" b="17721"/>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13"/>
                    <a:srcRect/>
                    <a:stretch>
                      <a:fillRect/>
                    </a:stretch>
                  </pic:blipFill>
                  <pic:spPr>
                    <a:xfrm>
                      <a:off x="0" y="0"/>
                      <a:ext cx="5986278" cy="3011868"/>
                    </a:xfrm>
                    <a:prstGeom prst="rect">
                      <a:avLst/>
                    </a:prstGeom>
                    <a:solidFill>
                      <a:srgbClr val="FFFFFF"/>
                    </a:solidFill>
                    <a:ln w="9525">
                      <a:solidFill>
                        <a:srgbClr val="000000"/>
                      </a:solidFill>
                      <a:miter lim="800000"/>
                      <a:headEnd/>
                      <a:tailEnd/>
                    </a:ln>
                  </pic:spPr>
                </pic:pic>
              </a:graphicData>
            </a:graphic>
          </wp:anchor>
        </w:drawing>
      </w:r>
    </w:p>
    <w:p/>
    <w:p/>
    <w:p/>
    <w:p/>
    <w:p/>
    <w:p/>
    <w:p/>
    <w:p/>
    <w:p/>
    <w:p/>
    <w:p/>
    <w:p/>
    <w:p/>
    <w:p/>
    <w:p/>
    <w:p/>
    <w:p/>
    <w:p/>
    <w:p/>
    <w:p/>
    <w:p/>
    <w:p/>
    <w:p/>
    <w:p/>
    <w:p/>
    <w:p/>
    <w:p/>
    <w:p/>
    <w:p/>
    <w:p/>
    <w:p/>
    <w:p/>
    <w:p/>
    <w:p/>
    <w:p/>
    <w:p/>
    <w:p>
      <w:pPr>
        <w:spacing w:line="560" w:lineRule="exact"/>
        <w:jc w:val="center"/>
        <w:rPr>
          <w:rFonts w:ascii="黑体" w:hAnsi="黑体" w:eastAsia="黑体" w:cs="Times New Roman"/>
          <w:sz w:val="36"/>
          <w:szCs w:val="36"/>
        </w:rPr>
      </w:pPr>
      <w:r>
        <w:rPr>
          <w:rFonts w:ascii="黑体" w:hAnsi="黑体" w:eastAsia="黑体" w:cs="Times New Roman"/>
          <w:sz w:val="36"/>
          <w:szCs w:val="36"/>
        </w:rPr>
        <w:t xml:space="preserve">第三部分  </w:t>
      </w:r>
      <w:r>
        <w:rPr>
          <w:rFonts w:hint="eastAsia" w:ascii="黑体" w:hAnsi="黑体" w:eastAsia="黑体" w:cs="Times New Roman"/>
          <w:sz w:val="36"/>
          <w:szCs w:val="36"/>
        </w:rPr>
        <w:t>中国共产党格尔木市纪律检查委员会</w:t>
      </w:r>
    </w:p>
    <w:p>
      <w:pPr>
        <w:spacing w:line="560" w:lineRule="exact"/>
        <w:jc w:val="center"/>
        <w:rPr>
          <w:rFonts w:ascii="黑体" w:hAnsi="黑体" w:eastAsia="黑体" w:cs="Times New Roman"/>
          <w:sz w:val="36"/>
          <w:szCs w:val="36"/>
        </w:rPr>
      </w:pPr>
      <w:r>
        <w:rPr>
          <w:rFonts w:ascii="黑体" w:hAnsi="黑体" w:eastAsia="黑体" w:cs="Times New Roman"/>
          <w:sz w:val="36"/>
          <w:szCs w:val="36"/>
        </w:rPr>
        <w:t>2019年度部门预</w:t>
      </w:r>
      <w:r>
        <w:rPr>
          <w:rFonts w:hint="eastAsia" w:ascii="黑体" w:hAnsi="黑体" w:eastAsia="黑体" w:cs="Times New Roman"/>
          <w:sz w:val="36"/>
          <w:szCs w:val="36"/>
        </w:rPr>
        <w:t>算</w:t>
      </w:r>
      <w:r>
        <w:rPr>
          <w:rFonts w:ascii="黑体" w:hAnsi="黑体" w:eastAsia="黑体" w:cs="Times New Roman"/>
          <w:sz w:val="36"/>
          <w:szCs w:val="36"/>
        </w:rPr>
        <w:t>情况说明</w:t>
      </w:r>
    </w:p>
    <w:p>
      <w:pPr>
        <w:spacing w:line="560" w:lineRule="exact"/>
        <w:ind w:firstLine="640" w:firstLineChars="200"/>
        <w:rPr>
          <w:rFonts w:ascii="Times New Roman" w:hAnsi="Times New Roman" w:eastAsia="仿宋_GB2312" w:cs="Times New Roman"/>
          <w:sz w:val="32"/>
          <w:szCs w:val="32"/>
        </w:rPr>
      </w:pPr>
    </w:p>
    <w:p>
      <w:pPr>
        <w:ind w:firstLine="640" w:firstLineChars="200"/>
        <w:rPr>
          <w:rFonts w:ascii="黑体" w:hAnsi="黑体" w:eastAsia="黑体" w:cs="Times New Roman"/>
          <w:sz w:val="32"/>
          <w:szCs w:val="32"/>
        </w:rPr>
      </w:pPr>
      <w:r>
        <w:rPr>
          <w:rFonts w:ascii="黑体" w:hAnsi="黑体" w:eastAsia="黑体" w:cs="Times New Roman"/>
          <w:sz w:val="32"/>
          <w:szCs w:val="32"/>
        </w:rPr>
        <w:t>一、关于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2019年财政拨款收支预算情况的总体说明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共产党格尔木市纪律检查委员会2019年财政拨款收支总预算1067.3万元，比2018年增加293.17万元，主要是增加检察院转隶人员工资。收入包括：一般公共预算拨款1067.3万元，政府性基金预算拨款0万元；支出包括：一般公共服务支出859.92万元，社会保障和就业支出66.32万元，卫生健康支出85.71万元，住房保障支出55.35万元。</w:t>
      </w:r>
    </w:p>
    <w:p>
      <w:pPr>
        <w:ind w:firstLine="640" w:firstLineChars="200"/>
        <w:rPr>
          <w:rFonts w:ascii="黑体" w:hAnsi="黑体" w:eastAsia="黑体" w:cs="Times New Roman"/>
          <w:sz w:val="32"/>
          <w:szCs w:val="32"/>
        </w:rPr>
      </w:pPr>
      <w:r>
        <w:rPr>
          <w:rFonts w:ascii="黑体" w:hAnsi="黑体" w:eastAsia="黑体" w:cs="Times New Roman"/>
          <w:sz w:val="32"/>
          <w:szCs w:val="32"/>
        </w:rPr>
        <w:t>二、关于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2019年一般公共预算当年拨款情况说明</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（一）一般公共预算当年拨款规模变化情况。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中国共产党格尔木市纪律检查委员会2019年一般公共预算当年拨款1067.3万元,比2018年增加293.17万元，主要原因是监委的成立，增加转隶人员工资。</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（二）一般公共预算当年拨款结构情况。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一般公共服务支出859.92万元，占80.57%；社会保障和就业支出66.32万元，占6.21%；卫生健康支出85.71万元，占8.03%；住房保障支出55.35万元，占5.19%。</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（三）一般公共预算当年拨款具体使用情况。</w:t>
      </w:r>
    </w:p>
    <w:p>
      <w:pPr>
        <w:ind w:firstLine="960" w:firstLineChars="300"/>
        <w:rPr>
          <w:rFonts w:hint="eastAsia" w:ascii="仿宋_GB2312" w:hAnsi="仿宋" w:eastAsia="仿宋_GB2312"/>
          <w:sz w:val="32"/>
          <w:szCs w:val="32"/>
        </w:rPr>
      </w:pPr>
      <w:r>
        <w:rPr>
          <w:rFonts w:hint="eastAsia" w:ascii="仿宋_GB2312" w:hAnsi="仿宋" w:eastAsia="仿宋_GB2312"/>
          <w:sz w:val="32"/>
          <w:szCs w:val="32"/>
        </w:rPr>
        <w:t>1.一般公共服务</w:t>
      </w:r>
      <w:r>
        <w:rPr>
          <w:rFonts w:hint="eastAsia" w:ascii="仿宋_GB2312" w:hAnsi="仿宋" w:eastAsia="仿宋_GB2312"/>
          <w:sz w:val="32"/>
          <w:szCs w:val="32"/>
          <w:lang w:eastAsia="zh-CN"/>
        </w:rPr>
        <w:t>支出</w:t>
      </w:r>
      <w:r>
        <w:rPr>
          <w:rFonts w:hint="eastAsia" w:ascii="仿宋_GB2312" w:hAnsi="仿宋" w:eastAsia="仿宋_GB2312"/>
          <w:sz w:val="32"/>
          <w:szCs w:val="32"/>
        </w:rPr>
        <w:t>（类）纪检监察事务（款）行政运行（项）2019年预算数为719.67万元，比2018年增加201.84万元，增长38.98%主要监察委的成立，增加转隶人员工资，人员经费增长。</w:t>
      </w:r>
    </w:p>
    <w:p>
      <w:pPr>
        <w:ind w:firstLine="960" w:firstLineChars="300"/>
        <w:rPr>
          <w:rFonts w:ascii="仿宋_GB2312" w:hAnsi="仿宋" w:eastAsia="仿宋_GB2312"/>
          <w:sz w:val="32"/>
          <w:szCs w:val="32"/>
        </w:rPr>
      </w:pPr>
      <w:r>
        <w:rPr>
          <w:rFonts w:hint="eastAsia" w:ascii="仿宋_GB2312" w:hAnsi="仿宋" w:eastAsia="仿宋_GB2312"/>
          <w:sz w:val="32"/>
          <w:szCs w:val="32"/>
        </w:rPr>
        <w:t>2、一般公共服务</w:t>
      </w:r>
      <w:r>
        <w:rPr>
          <w:rFonts w:hint="eastAsia" w:ascii="仿宋_GB2312" w:hAnsi="仿宋" w:eastAsia="仿宋_GB2312"/>
          <w:sz w:val="32"/>
          <w:szCs w:val="32"/>
          <w:lang w:eastAsia="zh-CN"/>
        </w:rPr>
        <w:t>支出</w:t>
      </w:r>
      <w:r>
        <w:rPr>
          <w:rFonts w:hint="eastAsia" w:ascii="仿宋_GB2312" w:hAnsi="仿宋" w:eastAsia="仿宋_GB2312"/>
          <w:sz w:val="32"/>
          <w:szCs w:val="32"/>
        </w:rPr>
        <w:t>（类）纪检监察事务（款）其他纪检监察事务（项）2019年预算数140.25万元，较2018年持平。</w:t>
      </w:r>
    </w:p>
    <w:p>
      <w:pPr>
        <w:ind w:firstLine="960" w:firstLineChars="300"/>
        <w:rPr>
          <w:rFonts w:ascii="仿宋_GB2312" w:hAnsi="仿宋" w:eastAsia="仿宋_GB2312"/>
          <w:sz w:val="32"/>
          <w:szCs w:val="32"/>
        </w:rPr>
      </w:pPr>
      <w:r>
        <w:rPr>
          <w:rFonts w:hint="eastAsia" w:ascii="仿宋_GB2312" w:hAnsi="仿宋" w:eastAsia="仿宋_GB2312"/>
          <w:sz w:val="32"/>
          <w:szCs w:val="32"/>
        </w:rPr>
        <w:t>3、社会保障和就业支出（类）行政事业单位离退休（款）机关事业单位基本养老保险（项）2019年预算数64.85万元，比2018年增加28.08万元，增长76.37%。主要监察委的成立，增加转隶人员工资，人员经费增加。</w:t>
      </w:r>
    </w:p>
    <w:p>
      <w:pPr>
        <w:ind w:firstLine="960" w:firstLineChars="300"/>
        <w:rPr>
          <w:rFonts w:hint="eastAsia" w:ascii="仿宋_GB2312" w:hAnsi="仿宋" w:eastAsia="仿宋_GB2312"/>
          <w:sz w:val="32"/>
          <w:szCs w:val="32"/>
        </w:rPr>
      </w:pPr>
      <w:r>
        <w:rPr>
          <w:rFonts w:hint="eastAsia" w:ascii="仿宋_GB2312" w:hAnsi="仿宋" w:eastAsia="仿宋_GB2312"/>
          <w:sz w:val="32"/>
          <w:szCs w:val="32"/>
        </w:rPr>
        <w:t>4、社会保障和就业支出（类）财政对其他保险基金的补助（款）财政对失业保险基金的补助（项）2019年预算数0.16万元，较2018年持平。</w:t>
      </w:r>
    </w:p>
    <w:p>
      <w:pPr>
        <w:ind w:firstLine="960" w:firstLineChars="300"/>
        <w:rPr>
          <w:rFonts w:hint="eastAsia" w:ascii="仿宋_GB2312" w:hAnsi="仿宋" w:eastAsia="仿宋_GB2312"/>
          <w:sz w:val="32"/>
          <w:szCs w:val="32"/>
        </w:rPr>
      </w:pPr>
      <w:r>
        <w:rPr>
          <w:rFonts w:hint="eastAsia" w:ascii="仿宋_GB2312" w:hAnsi="仿宋" w:eastAsia="仿宋_GB2312"/>
          <w:sz w:val="32"/>
          <w:szCs w:val="32"/>
        </w:rPr>
        <w:t>5、社会保障和就业支出（类）财政对其他保险基金的补助（款）财政对工伤保险基金的补助（项）2019年预算数0.92万元，比2018年增加0.46万元，增长100%。主要监察委的成立，增加转隶人员工资，人员经费增加。</w:t>
      </w:r>
    </w:p>
    <w:p>
      <w:pPr>
        <w:ind w:firstLine="960" w:firstLineChars="300"/>
        <w:rPr>
          <w:rFonts w:ascii="仿宋_GB2312" w:hAnsi="仿宋" w:eastAsia="仿宋_GB2312"/>
          <w:sz w:val="32"/>
          <w:szCs w:val="32"/>
        </w:rPr>
      </w:pPr>
      <w:r>
        <w:rPr>
          <w:rFonts w:hint="eastAsia" w:ascii="仿宋_GB2312" w:hAnsi="仿宋" w:eastAsia="仿宋_GB2312"/>
          <w:sz w:val="32"/>
          <w:szCs w:val="32"/>
        </w:rPr>
        <w:t>6、社会保障和就业支出（类）财政对其他保险基金的补助（款）其他财政对社会保险基金的补助（项）2019年预算数0.39万元，较2018年持平。</w:t>
      </w:r>
    </w:p>
    <w:p>
      <w:pPr>
        <w:ind w:firstLine="960" w:firstLineChars="300"/>
        <w:rPr>
          <w:rFonts w:hint="eastAsia" w:ascii="仿宋_GB2312" w:hAnsi="仿宋" w:eastAsia="仿宋_GB2312"/>
          <w:sz w:val="32"/>
          <w:szCs w:val="32"/>
        </w:rPr>
      </w:pPr>
      <w:r>
        <w:rPr>
          <w:rFonts w:hint="eastAsia" w:ascii="仿宋_GB2312" w:hAnsi="仿宋" w:eastAsia="仿宋_GB2312"/>
          <w:sz w:val="32"/>
          <w:szCs w:val="32"/>
        </w:rPr>
        <w:t>7、卫生健康支出（类）行政事业单位医疗（款）行政单位医疗（项）2019年预算数29.75万元，比2018年增长14.76万元，增长98.47%。主要监察委的成立，增加转隶人员工资，人员经费增加。</w:t>
      </w:r>
    </w:p>
    <w:p>
      <w:pPr>
        <w:ind w:firstLine="960" w:firstLineChars="300"/>
        <w:rPr>
          <w:rFonts w:hint="eastAsia" w:ascii="仿宋_GB2312" w:hAnsi="仿宋" w:eastAsia="仿宋_GB2312"/>
          <w:sz w:val="32"/>
          <w:szCs w:val="32"/>
        </w:rPr>
      </w:pPr>
      <w:r>
        <w:rPr>
          <w:rFonts w:hint="eastAsia" w:ascii="仿宋_GB2312" w:hAnsi="仿宋" w:eastAsia="仿宋_GB2312"/>
          <w:sz w:val="32"/>
          <w:szCs w:val="32"/>
        </w:rPr>
        <w:t>8、卫生健康支出（类）行政事业单位医疗（款）公务员医疗补助（项）2019年预算数55.96万元，比2018年增长21.14万元，增长60.71%。主要监察委的成立，增加转隶人员工资，人员经费增加。</w:t>
      </w:r>
    </w:p>
    <w:p>
      <w:pPr>
        <w:ind w:firstLine="960" w:firstLineChars="300"/>
        <w:rPr>
          <w:rFonts w:ascii="仿宋_GB2312" w:hAnsi="Times New Roman" w:eastAsia="仿宋_GB2312" w:cs="Times New Roman"/>
          <w:sz w:val="32"/>
          <w:szCs w:val="32"/>
        </w:rPr>
      </w:pPr>
      <w:r>
        <w:rPr>
          <w:rFonts w:hint="eastAsia" w:ascii="仿宋_GB2312" w:hAnsi="仿宋" w:eastAsia="仿宋_GB2312"/>
          <w:sz w:val="32"/>
          <w:szCs w:val="32"/>
        </w:rPr>
        <w:t>9、住房保障支出（类）住房改革支出（款）住房公积金（项）2019年预算数55.35万元，比2018年增长27.48万元，增长98.6%。主要监察委的成立，增加转隶人员工资，人员经费增加。</w:t>
      </w:r>
    </w:p>
    <w:p>
      <w:pPr>
        <w:ind w:firstLine="640" w:firstLineChars="200"/>
        <w:rPr>
          <w:rFonts w:ascii="黑体" w:hAnsi="黑体" w:eastAsia="黑体" w:cs="Times New Roman"/>
          <w:sz w:val="32"/>
          <w:szCs w:val="32"/>
        </w:rPr>
      </w:pPr>
      <w:r>
        <w:rPr>
          <w:rFonts w:ascii="黑体" w:hAnsi="黑体" w:eastAsia="黑体" w:cs="Times New Roman"/>
          <w:sz w:val="32"/>
          <w:szCs w:val="32"/>
        </w:rPr>
        <w:t>三、关于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2019年一般公共预算基本支出情况说明</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中国共产党格尔木市纪律检查委员会 2019年一般公共预算基本支出927.05万元</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其中：</w:t>
      </w:r>
      <w:r>
        <w:rPr>
          <w:rFonts w:hint="eastAsia" w:ascii="仿宋_GB2312" w:hAnsi="仿宋" w:eastAsia="仿宋_GB2312"/>
          <w:b/>
          <w:sz w:val="32"/>
          <w:szCs w:val="32"/>
        </w:rPr>
        <w:t>人员经费808.95万元：</w:t>
      </w:r>
      <w:r>
        <w:rPr>
          <w:rFonts w:hint="eastAsia" w:ascii="仿宋_GB2312" w:hAnsi="仿宋" w:eastAsia="仿宋_GB2312"/>
          <w:sz w:val="32"/>
          <w:szCs w:val="32"/>
        </w:rPr>
        <w:t>主要包括：基本工资128.66万元、津贴补贴255.59万元、奖金35.48万元、其他工资福利支出181.76万元、机关事业单位基本养老保险64.85万元、职工基本医疗保险缴费27.67万元、公务员医疗补助缴费41.51万元、其他社会保障缴费3.55万元、住房公积金55.35万元。</w:t>
      </w:r>
    </w:p>
    <w:p>
      <w:pPr>
        <w:ind w:firstLine="643" w:firstLineChars="200"/>
        <w:rPr>
          <w:rFonts w:ascii="仿宋_GB2312" w:hAnsi="Times New Roman" w:eastAsia="仿宋_GB2312" w:cs="Times New Roman"/>
          <w:sz w:val="32"/>
          <w:szCs w:val="32"/>
        </w:rPr>
      </w:pPr>
      <w:r>
        <w:rPr>
          <w:rFonts w:hint="eastAsia" w:ascii="仿宋_GB2312" w:hAnsi="仿宋" w:eastAsia="仿宋_GB2312"/>
          <w:b/>
          <w:sz w:val="32"/>
          <w:szCs w:val="32"/>
        </w:rPr>
        <w:t>公用经费118.1万元：</w:t>
      </w:r>
      <w:r>
        <w:rPr>
          <w:rFonts w:hint="eastAsia" w:ascii="仿宋_GB2312" w:hAnsi="仿宋" w:eastAsia="仿宋_GB2312"/>
          <w:sz w:val="32"/>
          <w:szCs w:val="32"/>
        </w:rPr>
        <w:t>主要包括：办公费55万元、印刷费10万元、差旅费6万元、培训费10万元、公务接待费5万元、会议费4.5万元、邮电费2.4万元、公务用车运行维护费25.2万元。</w:t>
      </w:r>
    </w:p>
    <w:p>
      <w:pPr>
        <w:ind w:firstLine="640" w:firstLineChars="200"/>
        <w:rPr>
          <w:rFonts w:ascii="黑体" w:hAnsi="黑体" w:eastAsia="黑体" w:cs="Times New Roman"/>
          <w:sz w:val="32"/>
          <w:szCs w:val="32"/>
        </w:rPr>
      </w:pPr>
      <w:r>
        <w:rPr>
          <w:rFonts w:ascii="黑体" w:hAnsi="黑体" w:eastAsia="黑体" w:cs="Times New Roman"/>
          <w:sz w:val="32"/>
          <w:szCs w:val="32"/>
        </w:rPr>
        <w:t>四、关于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2019年“三公”经费预算情况说明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共产党格尔木市纪律检查委员会2019年“三公”经费预算数为30.2万元，比2018年增加10.8万元，其中：因公出国（境）费0万元，无增减；公务用车购置及运行费25.2万元，增加10.8万元；公务接待费5万元，无增减。2019年“三公”经费预算比2018年增加10.8万元，主要是监察委的成立，检察院转隶3辆车，增加车辆购置及运行费。</w:t>
      </w:r>
    </w:p>
    <w:p>
      <w:pPr>
        <w:ind w:firstLine="640" w:firstLineChars="200"/>
        <w:rPr>
          <w:rFonts w:ascii="黑体" w:hAnsi="黑体" w:eastAsia="黑体" w:cs="Times New Roman"/>
          <w:sz w:val="32"/>
          <w:szCs w:val="32"/>
        </w:rPr>
      </w:pPr>
      <w:r>
        <w:rPr>
          <w:rFonts w:ascii="黑体" w:hAnsi="黑体" w:eastAsia="黑体" w:cs="Times New Roman"/>
          <w:sz w:val="32"/>
          <w:szCs w:val="32"/>
        </w:rPr>
        <w:t>五、关于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2019年政府性基金预算支出情况的说明</w:t>
      </w:r>
    </w:p>
    <w:p>
      <w:pPr>
        <w:ind w:firstLine="640" w:firstLineChars="200"/>
        <w:rPr>
          <w:rFonts w:ascii="仿宋_GB2312" w:hAnsi="Times New Roman" w:eastAsia="仿宋_GB2312" w:cs="Times New Roman"/>
          <w:i/>
          <w:sz w:val="32"/>
          <w:szCs w:val="32"/>
          <w:u w:val="single"/>
        </w:rPr>
      </w:pPr>
      <w:r>
        <w:rPr>
          <w:rFonts w:hint="eastAsia" w:ascii="仿宋_GB2312" w:hAnsi="Times New Roman" w:eastAsia="仿宋_GB2312" w:cs="Times New Roman"/>
          <w:sz w:val="32"/>
          <w:szCs w:val="32"/>
        </w:rPr>
        <w:t>中国共产党格尔木市纪律检查委员会2019年没有使用政府性基金预算拨款安排的支出。</w:t>
      </w:r>
    </w:p>
    <w:p>
      <w:pPr>
        <w:ind w:firstLine="640" w:firstLineChars="200"/>
        <w:rPr>
          <w:rFonts w:ascii="黑体" w:hAnsi="黑体" w:eastAsia="黑体" w:cs="Times New Roman"/>
          <w:sz w:val="32"/>
          <w:szCs w:val="32"/>
        </w:rPr>
      </w:pPr>
      <w:r>
        <w:rPr>
          <w:rFonts w:ascii="黑体" w:hAnsi="黑体" w:eastAsia="黑体" w:cs="Times New Roman"/>
          <w:sz w:val="32"/>
          <w:szCs w:val="32"/>
        </w:rPr>
        <w:t>六、关于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2019年部门收支预算情况的总体说明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按照综合预算的原则，中国共产党格尔木市纪律检查委员会所有收入和支出均纳入部门预算管理。收入包括：一般公共预算拨款收入1067.3万元；支出包括：</w:t>
      </w:r>
      <w:r>
        <w:rPr>
          <w:rFonts w:hint="eastAsia" w:ascii="仿宋_GB2312" w:hAnsi="仿宋" w:eastAsia="仿宋_GB2312"/>
          <w:sz w:val="32"/>
          <w:szCs w:val="32"/>
        </w:rPr>
        <w:t>一般公共服务支出859.92万元、社会保障和就业支出66.32万元、卫生健康支出85.71万元、住房保障支出55.35万元。中国共产党格尔木市纪律检查委员会</w:t>
      </w:r>
      <w:r>
        <w:rPr>
          <w:rFonts w:hint="eastAsia" w:ascii="仿宋_GB2312" w:hAnsi="Times New Roman" w:eastAsia="仿宋_GB2312" w:cs="Times New Roman"/>
          <w:sz w:val="32"/>
          <w:szCs w:val="32"/>
        </w:rPr>
        <w:t>2019年收支总预算1067.3万元。</w:t>
      </w:r>
    </w:p>
    <w:p>
      <w:pPr>
        <w:ind w:firstLine="640" w:firstLineChars="200"/>
        <w:rPr>
          <w:rFonts w:ascii="黑体" w:hAnsi="黑体" w:eastAsia="黑体" w:cs="Times New Roman"/>
          <w:sz w:val="32"/>
          <w:szCs w:val="32"/>
        </w:rPr>
      </w:pPr>
      <w:r>
        <w:rPr>
          <w:rFonts w:ascii="黑体" w:hAnsi="黑体" w:eastAsia="黑体" w:cs="Times New Roman"/>
          <w:sz w:val="32"/>
          <w:szCs w:val="32"/>
        </w:rPr>
        <w:t>七、关于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2019年部门收入预算情况说明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中国共产党格尔木市纪律检查委员会2019年收入预算1067.3万元。其中，一般公共预算拨款收入1067.3万元，占100%。</w:t>
      </w:r>
    </w:p>
    <w:p>
      <w:pPr>
        <w:ind w:firstLine="640" w:firstLineChars="200"/>
        <w:rPr>
          <w:rFonts w:ascii="黑体" w:hAnsi="黑体" w:eastAsia="黑体" w:cs="Times New Roman"/>
          <w:sz w:val="32"/>
          <w:szCs w:val="32"/>
        </w:rPr>
      </w:pPr>
      <w:r>
        <w:rPr>
          <w:rFonts w:ascii="黑体" w:hAnsi="黑体" w:eastAsia="黑体" w:cs="Times New Roman"/>
          <w:sz w:val="32"/>
          <w:szCs w:val="32"/>
        </w:rPr>
        <w:t>八、关于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2019年部门支出预算情况说明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中国共产党格尔木市纪律检查委员会2019年支出预算1067.3万元，其中：基本支出927.05万元，占86.86%；项目支出140.25万元，占13.14%。</w:t>
      </w:r>
    </w:p>
    <w:p>
      <w:pPr>
        <w:ind w:firstLine="640" w:firstLineChars="200"/>
        <w:rPr>
          <w:rFonts w:ascii="黑体" w:hAnsi="黑体" w:eastAsia="黑体" w:cs="Times New Roman"/>
          <w:sz w:val="32"/>
          <w:szCs w:val="32"/>
        </w:rPr>
      </w:pPr>
      <w:r>
        <w:rPr>
          <w:rFonts w:ascii="黑体" w:hAnsi="黑体" w:eastAsia="黑体" w:cs="Times New Roman"/>
          <w:sz w:val="32"/>
          <w:szCs w:val="32"/>
        </w:rPr>
        <w:t>九、关于</w:t>
      </w:r>
      <w:r>
        <w:rPr>
          <w:rFonts w:hint="eastAsia" w:ascii="黑体" w:hAnsi="黑体" w:eastAsia="黑体" w:cs="Times New Roman"/>
          <w:sz w:val="32"/>
          <w:szCs w:val="32"/>
        </w:rPr>
        <w:t>中国共产党格尔木市纪律检查委员会</w:t>
      </w:r>
      <w:r>
        <w:rPr>
          <w:rFonts w:ascii="黑体" w:hAnsi="黑体" w:eastAsia="黑体" w:cs="Times New Roman"/>
          <w:sz w:val="32"/>
          <w:szCs w:val="32"/>
        </w:rPr>
        <w:t>项目支出预算情况的说明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一般公共服务</w:t>
      </w:r>
      <w:r>
        <w:rPr>
          <w:rFonts w:hint="eastAsia" w:ascii="仿宋_GB2312" w:hAnsi="仿宋" w:eastAsia="仿宋_GB2312"/>
          <w:sz w:val="32"/>
          <w:szCs w:val="32"/>
          <w:lang w:eastAsia="zh-CN"/>
        </w:rPr>
        <w:t>支出</w:t>
      </w:r>
      <w:r>
        <w:rPr>
          <w:rFonts w:hint="eastAsia" w:ascii="仿宋_GB2312" w:hAnsi="仿宋" w:eastAsia="仿宋_GB2312"/>
          <w:sz w:val="32"/>
          <w:szCs w:val="32"/>
        </w:rPr>
        <w:t>（类）纪检监察事务（款）其他纪检监察事务支出（项）2019年预算数140.25万元，比2018年增加57万元，主要将一般公共服务（类）纪检监察事务（款）办公楼运行经费（项）合并科目。</w:t>
      </w:r>
    </w:p>
    <w:p>
      <w:pPr>
        <w:ind w:firstLine="640" w:firstLineChars="200"/>
        <w:rPr>
          <w:rFonts w:ascii="黑体" w:hAnsi="黑体" w:eastAsia="黑体" w:cs="Times New Roman"/>
          <w:sz w:val="32"/>
          <w:szCs w:val="32"/>
        </w:rPr>
      </w:pPr>
      <w:r>
        <w:rPr>
          <w:rFonts w:ascii="黑体" w:hAnsi="黑体" w:eastAsia="黑体" w:cs="Times New Roman"/>
          <w:sz w:val="32"/>
          <w:szCs w:val="32"/>
        </w:rPr>
        <w:t>十、其他重要事项的情况说明</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2019年中国共产党格尔木市纪律检查委员会机关运行经费财政拨款预算118.1万元，较2018年持平。</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（二）政府采购安排情况。</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2019年中国共产党格尔木市纪律检查委员会政府采购预算总额0万元</w:t>
      </w:r>
      <w:r>
        <w:rPr>
          <w:rFonts w:hint="eastAsia" w:ascii="仿宋_GB2312" w:hAnsi="Times New Roman" w:eastAsia="仿宋_GB2312" w:cs="Times New Roman"/>
          <w:sz w:val="32"/>
          <w:szCs w:val="32"/>
          <w:lang w:eastAsia="zh-CN"/>
        </w:rPr>
        <w:t>。</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（三）国有资产占有使用情况。</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截至2018年12月底，中国共产党格尔木市纪律检查委员会共有车辆8辆，其中，一般公务用车8辆</w:t>
      </w:r>
      <w:r>
        <w:rPr>
          <w:rFonts w:hint="eastAsia" w:ascii="仿宋_GB2312" w:hAnsi="Times New Roman" w:eastAsia="仿宋_GB2312" w:cs="Times New Roman"/>
          <w:sz w:val="32"/>
          <w:szCs w:val="32"/>
          <w:lang w:eastAsia="zh-CN"/>
        </w:rPr>
        <w:t>、一般执法执勤用车</w:t>
      </w:r>
      <w:r>
        <w:rPr>
          <w:rFonts w:hint="eastAsia" w:ascii="仿宋_GB2312" w:hAnsi="Times New Roman" w:eastAsia="仿宋_GB2312" w:cs="Times New Roman"/>
          <w:sz w:val="32"/>
          <w:szCs w:val="32"/>
          <w:lang w:val="en-US" w:eastAsia="zh-CN"/>
        </w:rPr>
        <w:t>0辆、特种专业技术用车0辆、其他用车0辆。单价50万元以上通用设备0台（套），单价100万元以上专用设备0台（套）。</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（四）绩效目标设置情况。</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2019年中国共产党格尔木市纪律检查委员会专项实行绩效目标管理。</w:t>
      </w:r>
      <w:r>
        <w:rPr>
          <w:rFonts w:hint="eastAsia" w:ascii="仿宋_GB2312" w:hAnsi="Times New Roman" w:eastAsia="仿宋_GB2312" w:cs="Times New Roman"/>
          <w:sz w:val="32"/>
          <w:szCs w:val="32"/>
          <w:lang w:eastAsia="zh-CN"/>
        </w:rPr>
        <w:t>涉及一般公共预算当年拨款</w:t>
      </w:r>
      <w:r>
        <w:rPr>
          <w:rFonts w:hint="eastAsia" w:ascii="仿宋_GB2312" w:hAnsi="Times New Roman" w:eastAsia="仿宋_GB2312" w:cs="Times New Roman"/>
          <w:sz w:val="32"/>
          <w:szCs w:val="32"/>
          <w:lang w:val="en-US" w:eastAsia="zh-CN"/>
        </w:rPr>
        <w:t>140.25万元。</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ascii="Times New Roman" w:hAnsi="Times New Roman" w:cs="Times New Roman"/>
        </w:rPr>
      </w:pPr>
    </w:p>
    <w:p>
      <w:pPr>
        <w:spacing w:line="560" w:lineRule="exact"/>
        <w:ind w:firstLine="3240" w:firstLineChars="900"/>
        <w:rPr>
          <w:rFonts w:ascii="Times New Roman" w:hAnsi="Times New Roman" w:eastAsia="黑体" w:cs="Times New Roman"/>
          <w:sz w:val="36"/>
          <w:szCs w:val="36"/>
        </w:rPr>
      </w:pPr>
      <w:r>
        <w:rPr>
          <w:rFonts w:ascii="Times New Roman" w:hAnsi="Times New Roman" w:eastAsia="黑体" w:cs="Times New Roman"/>
          <w:sz w:val="36"/>
          <w:szCs w:val="36"/>
        </w:rPr>
        <w:t>第四部</w:t>
      </w:r>
      <w:r>
        <w:rPr>
          <w:rFonts w:hint="eastAsia" w:ascii="Times New Roman" w:hAnsi="Times New Roman" w:eastAsia="黑体" w:cs="Times New Roman"/>
          <w:sz w:val="36"/>
          <w:szCs w:val="36"/>
          <w:lang w:eastAsia="zh-CN"/>
        </w:rPr>
        <w:t>分</w:t>
      </w:r>
      <w:r>
        <w:rPr>
          <w:rFonts w:ascii="Times New Roman" w:hAnsi="Times New Roman" w:eastAsia="黑体" w:cs="Times New Roman"/>
          <w:sz w:val="36"/>
          <w:szCs w:val="36"/>
        </w:rPr>
        <w:t>名词解释</w:t>
      </w:r>
    </w:p>
    <w:p>
      <w:pPr>
        <w:tabs>
          <w:tab w:val="left" w:pos="1670"/>
        </w:tabs>
        <w:ind w:firstLine="643" w:firstLineChars="200"/>
        <w:jc w:val="left"/>
        <w:rPr>
          <w:rFonts w:ascii="楷体" w:hAnsi="楷体" w:eastAsia="楷体"/>
          <w:b/>
          <w:sz w:val="32"/>
          <w:szCs w:val="32"/>
        </w:rPr>
      </w:pPr>
      <w:r>
        <w:rPr>
          <w:rFonts w:hint="eastAsia" w:ascii="楷体" w:hAnsi="楷体" w:eastAsia="楷体"/>
          <w:b/>
          <w:sz w:val="32"/>
          <w:szCs w:val="32"/>
        </w:rPr>
        <w:t>一、收入类</w:t>
      </w:r>
    </w:p>
    <w:p>
      <w:pPr>
        <w:tabs>
          <w:tab w:val="left" w:pos="1670"/>
        </w:tabs>
        <w:ind w:firstLine="643" w:firstLineChars="200"/>
        <w:jc w:val="left"/>
        <w:rPr>
          <w:rFonts w:ascii="仿宋_GB2312" w:hAnsi="楷体" w:eastAsia="仿宋_GB2312"/>
          <w:sz w:val="32"/>
          <w:szCs w:val="32"/>
        </w:rPr>
      </w:pPr>
      <w:r>
        <w:rPr>
          <w:rFonts w:hint="eastAsia" w:ascii="仿宋_GB2312" w:hAnsi="仿宋" w:eastAsia="仿宋_GB2312"/>
          <w:b/>
          <w:sz w:val="32"/>
          <w:szCs w:val="32"/>
        </w:rPr>
        <w:t>（一）财政拨款收入：</w:t>
      </w:r>
      <w:r>
        <w:rPr>
          <w:rFonts w:hint="eastAsia" w:ascii="仿宋_GB2312" w:hAnsi="仿宋" w:eastAsia="仿宋_GB2312"/>
          <w:sz w:val="32"/>
          <w:szCs w:val="32"/>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tabs>
          <w:tab w:val="left" w:pos="1670"/>
        </w:tabs>
        <w:ind w:firstLine="643" w:firstLineChars="200"/>
        <w:jc w:val="left"/>
        <w:rPr>
          <w:rFonts w:ascii="仿宋_GB2312" w:hAnsi="楷体" w:eastAsia="仿宋_GB2312"/>
          <w:sz w:val="32"/>
          <w:szCs w:val="32"/>
        </w:rPr>
      </w:pPr>
      <w:r>
        <w:rPr>
          <w:rFonts w:hint="eastAsia" w:ascii="仿宋_GB2312" w:hAnsi="仿宋" w:eastAsia="仿宋_GB2312"/>
          <w:b/>
          <w:sz w:val="32"/>
          <w:szCs w:val="32"/>
        </w:rPr>
        <w:t>（二）上级补助收入：</w:t>
      </w:r>
      <w:r>
        <w:rPr>
          <w:rFonts w:hint="eastAsia" w:ascii="仿宋_GB2312" w:hAnsi="仿宋" w:eastAsia="仿宋_GB2312"/>
          <w:sz w:val="32"/>
          <w:szCs w:val="32"/>
        </w:rPr>
        <w:t>指事业单位从主管部门和上级单位取得的非财政补助收入。</w:t>
      </w:r>
    </w:p>
    <w:p>
      <w:pPr>
        <w:tabs>
          <w:tab w:val="left" w:pos="2325"/>
        </w:tabs>
        <w:ind w:firstLine="645"/>
        <w:rPr>
          <w:rFonts w:ascii="仿宋_GB2312" w:hAnsi="仿宋" w:eastAsia="仿宋_GB2312"/>
          <w:sz w:val="32"/>
          <w:szCs w:val="32"/>
        </w:rPr>
      </w:pPr>
      <w:r>
        <w:rPr>
          <w:rFonts w:hint="eastAsia" w:ascii="仿宋_GB2312" w:hAnsi="仿宋" w:eastAsia="仿宋_GB2312"/>
          <w:b/>
          <w:sz w:val="32"/>
          <w:szCs w:val="32"/>
        </w:rPr>
        <w:t>（三）事业收入：</w:t>
      </w:r>
      <w:r>
        <w:rPr>
          <w:rFonts w:hint="eastAsia" w:ascii="仿宋_GB2312" w:hAnsi="仿宋" w:eastAsia="仿宋_GB2312"/>
          <w:sz w:val="32"/>
          <w:szCs w:val="32"/>
        </w:rPr>
        <w:t>指事业单位开展专业业务活动及其辅助活动取得的收入。</w:t>
      </w:r>
    </w:p>
    <w:p>
      <w:pPr>
        <w:tabs>
          <w:tab w:val="left" w:pos="2325"/>
        </w:tabs>
        <w:ind w:firstLine="645"/>
        <w:rPr>
          <w:rFonts w:ascii="仿宋_GB2312" w:hAnsi="仿宋" w:eastAsia="仿宋_GB2312"/>
          <w:sz w:val="32"/>
          <w:szCs w:val="32"/>
        </w:rPr>
      </w:pPr>
      <w:r>
        <w:rPr>
          <w:rFonts w:hint="eastAsia" w:ascii="仿宋_GB2312" w:hAnsi="仿宋" w:eastAsia="仿宋_GB2312"/>
          <w:b/>
          <w:sz w:val="32"/>
          <w:szCs w:val="32"/>
        </w:rPr>
        <w:t>（四）事业单位经营收入：</w:t>
      </w:r>
      <w:r>
        <w:rPr>
          <w:rFonts w:hint="eastAsia" w:ascii="仿宋_GB2312" w:hAnsi="仿宋" w:eastAsia="仿宋_GB2312"/>
          <w:sz w:val="32"/>
          <w:szCs w:val="32"/>
        </w:rPr>
        <w:t>指事业单位在专业业务活动及其辅助活动之外开展非独立核算经营活动取得的收入。</w:t>
      </w:r>
    </w:p>
    <w:p>
      <w:pPr>
        <w:tabs>
          <w:tab w:val="left" w:pos="2325"/>
        </w:tabs>
        <w:ind w:firstLine="645"/>
        <w:rPr>
          <w:rFonts w:ascii="仿宋_GB2312" w:hAnsi="仿宋" w:eastAsia="仿宋_GB2312"/>
          <w:sz w:val="32"/>
          <w:szCs w:val="32"/>
        </w:rPr>
      </w:pPr>
      <w:r>
        <w:rPr>
          <w:rFonts w:hint="eastAsia" w:ascii="仿宋_GB2312" w:hAnsi="仿宋" w:eastAsia="仿宋_GB2312"/>
          <w:b/>
          <w:sz w:val="32"/>
          <w:szCs w:val="32"/>
        </w:rPr>
        <w:t>（五）附属单位缴款：</w:t>
      </w:r>
      <w:r>
        <w:rPr>
          <w:rFonts w:hint="eastAsia" w:ascii="仿宋_GB2312" w:hAnsi="仿宋" w:eastAsia="仿宋_GB2312"/>
          <w:sz w:val="32"/>
          <w:szCs w:val="32"/>
        </w:rPr>
        <w:t>指事业单位附属的独立核算单位按规定标准或比例缴纳的各项收入。</w:t>
      </w:r>
    </w:p>
    <w:p>
      <w:pPr>
        <w:tabs>
          <w:tab w:val="left" w:pos="2325"/>
        </w:tabs>
        <w:ind w:firstLine="645"/>
        <w:rPr>
          <w:rFonts w:ascii="仿宋_GB2312" w:hAnsi="仿宋" w:eastAsia="仿宋_GB2312"/>
          <w:sz w:val="32"/>
          <w:szCs w:val="32"/>
        </w:rPr>
      </w:pPr>
      <w:r>
        <w:rPr>
          <w:rFonts w:hint="eastAsia" w:ascii="仿宋_GB2312" w:hAnsi="仿宋" w:eastAsia="仿宋_GB2312"/>
          <w:b/>
          <w:sz w:val="32"/>
          <w:szCs w:val="32"/>
        </w:rPr>
        <w:t>（六）其他收入：</w:t>
      </w:r>
      <w:r>
        <w:rPr>
          <w:rFonts w:hint="eastAsia" w:ascii="仿宋_GB2312" w:hAnsi="仿宋" w:eastAsia="仿宋_GB2312"/>
          <w:sz w:val="32"/>
          <w:szCs w:val="32"/>
        </w:rPr>
        <w:t>指除上述“财政拨款收入”、“事业收入”、“经营收入”等以外的收入，如投资收益、利息收入等。</w:t>
      </w:r>
    </w:p>
    <w:p>
      <w:pPr>
        <w:tabs>
          <w:tab w:val="left" w:pos="2325"/>
        </w:tabs>
        <w:ind w:firstLine="806" w:firstLineChars="251"/>
        <w:rPr>
          <w:rFonts w:ascii="仿宋_GB2312" w:hAnsi="仿宋" w:eastAsia="仿宋_GB2312"/>
          <w:sz w:val="32"/>
          <w:szCs w:val="32"/>
        </w:rPr>
      </w:pPr>
      <w:r>
        <w:rPr>
          <w:rFonts w:hint="eastAsia" w:ascii="仿宋_GB2312" w:hAnsi="仿宋" w:eastAsia="仿宋_GB2312"/>
          <w:b/>
          <w:sz w:val="32"/>
          <w:szCs w:val="32"/>
        </w:rPr>
        <w:t>(七）用事业基金弥补收支差额：</w:t>
      </w:r>
      <w:r>
        <w:rPr>
          <w:rFonts w:hint="eastAsia" w:ascii="仿宋_GB2312" w:hAnsi="仿宋" w:eastAsia="仿宋_GB2312"/>
          <w:sz w:val="32"/>
          <w:szCs w:val="32"/>
        </w:rPr>
        <w:t>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tabs>
          <w:tab w:val="left" w:pos="2325"/>
        </w:tabs>
        <w:ind w:firstLine="806" w:firstLineChars="251"/>
        <w:rPr>
          <w:rFonts w:ascii="仿宋_GB2312" w:hAnsi="仿宋" w:eastAsia="仿宋_GB2312"/>
          <w:sz w:val="32"/>
          <w:szCs w:val="32"/>
        </w:rPr>
      </w:pPr>
      <w:r>
        <w:rPr>
          <w:rFonts w:hint="eastAsia" w:ascii="仿宋_GB2312" w:hAnsi="仿宋" w:eastAsia="仿宋_GB2312"/>
          <w:b/>
          <w:sz w:val="32"/>
          <w:szCs w:val="32"/>
        </w:rPr>
        <w:t>（八）上年结转和结余：</w:t>
      </w:r>
      <w:r>
        <w:rPr>
          <w:rFonts w:hint="eastAsia" w:ascii="仿宋_GB2312" w:hAnsi="仿宋"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tabs>
          <w:tab w:val="left" w:pos="2325"/>
        </w:tabs>
        <w:ind w:firstLine="806" w:firstLineChars="251"/>
        <w:rPr>
          <w:rFonts w:ascii="楷体" w:hAnsi="楷体" w:eastAsia="楷体"/>
          <w:b/>
          <w:sz w:val="32"/>
          <w:szCs w:val="32"/>
        </w:rPr>
      </w:pPr>
      <w:r>
        <w:rPr>
          <w:rFonts w:hint="eastAsia" w:ascii="楷体" w:hAnsi="楷体" w:eastAsia="楷体"/>
          <w:b/>
          <w:sz w:val="32"/>
          <w:szCs w:val="32"/>
        </w:rPr>
        <w:t>二、支出类</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1.一般公共服务（类）纪检监察事务（款）</w:t>
      </w:r>
      <w:r>
        <w:rPr>
          <w:rFonts w:hint="eastAsia" w:ascii="仿宋_GB2312" w:hAnsi="仿宋" w:eastAsia="仿宋_GB2312"/>
          <w:sz w:val="32"/>
          <w:szCs w:val="32"/>
          <w:lang w:eastAsia="zh-CN"/>
        </w:rPr>
        <w:t>行政运行（项）：反映行政单位（包括实行公务员管理的事业单位）的基本支出。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2.社会保障和就业支出（类）行政事业单位离退休（款）机关事业单位基本养老保险缴费支出（项）</w:t>
      </w:r>
      <w:r>
        <w:rPr>
          <w:rFonts w:hint="eastAsia" w:ascii="仿宋_GB2312" w:hAnsi="仿宋" w:eastAsia="仿宋_GB2312"/>
          <w:sz w:val="32"/>
          <w:szCs w:val="32"/>
          <w:lang w:eastAsia="zh-CN"/>
        </w:rPr>
        <w:t>：</w:t>
      </w:r>
      <w:r>
        <w:rPr>
          <w:rFonts w:hint="eastAsia" w:ascii="仿宋_GB2312" w:hAnsi="仿宋" w:eastAsia="仿宋_GB2312"/>
          <w:sz w:val="32"/>
          <w:szCs w:val="32"/>
        </w:rPr>
        <w:t>主要是机关在职人员基本养老保险缴费支出。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3.社会保障和就业支出（类）行政事业单位离退休（款）机关事业单位职业年金缴费支出（项）</w:t>
      </w:r>
      <w:r>
        <w:rPr>
          <w:rFonts w:hint="eastAsia" w:ascii="仿宋_GB2312" w:hAnsi="仿宋" w:eastAsia="仿宋_GB2312"/>
          <w:sz w:val="32"/>
          <w:szCs w:val="32"/>
          <w:lang w:eastAsia="zh-CN"/>
        </w:rPr>
        <w:t>：</w:t>
      </w:r>
      <w:r>
        <w:rPr>
          <w:rFonts w:hint="eastAsia" w:ascii="仿宋_GB2312" w:hAnsi="仿宋" w:eastAsia="仿宋_GB2312"/>
          <w:sz w:val="32"/>
          <w:szCs w:val="32"/>
        </w:rPr>
        <w:t>是指机关人员职业年金缴费支出。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4.社会保障和就业支出（类）财政对其他社会保险基金的补助（款）财政对失业保险基金的补助（项）</w:t>
      </w:r>
      <w:r>
        <w:rPr>
          <w:rFonts w:hint="eastAsia" w:ascii="仿宋_GB2312" w:hAnsi="仿宋" w:eastAsia="仿宋_GB2312"/>
          <w:sz w:val="32"/>
          <w:szCs w:val="32"/>
          <w:lang w:eastAsia="zh-CN"/>
        </w:rPr>
        <w:t>：</w:t>
      </w:r>
      <w:r>
        <w:rPr>
          <w:rFonts w:hint="eastAsia" w:ascii="仿宋_GB2312" w:hAnsi="仿宋" w:eastAsia="仿宋_GB2312"/>
          <w:sz w:val="32"/>
          <w:szCs w:val="32"/>
        </w:rPr>
        <w:t>是指机关人员失业金缴费支出。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5.社会保障和就业支出（类）财政对其他社会保险基金的补助（款）财政对工伤保险基金的补助（项）</w:t>
      </w:r>
      <w:r>
        <w:rPr>
          <w:rFonts w:hint="eastAsia" w:ascii="仿宋_GB2312" w:hAnsi="仿宋" w:eastAsia="仿宋_GB2312"/>
          <w:sz w:val="32"/>
          <w:szCs w:val="32"/>
          <w:lang w:eastAsia="zh-CN"/>
        </w:rPr>
        <w:t>：</w:t>
      </w:r>
      <w:r>
        <w:rPr>
          <w:rFonts w:hint="eastAsia" w:ascii="仿宋_GB2312" w:hAnsi="仿宋" w:eastAsia="仿宋_GB2312"/>
          <w:sz w:val="32"/>
          <w:szCs w:val="32"/>
        </w:rPr>
        <w:t>是指机关人员工伤保险缴费支出。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6.社会保障和就业支出（类）财政对其他社会保险基金的补助（款）其他财政对社会保险基金的补助（项）</w:t>
      </w:r>
      <w:r>
        <w:rPr>
          <w:rFonts w:hint="eastAsia" w:ascii="仿宋_GB2312" w:hAnsi="仿宋" w:eastAsia="仿宋_GB2312"/>
          <w:sz w:val="32"/>
          <w:szCs w:val="32"/>
          <w:lang w:eastAsia="zh-CN"/>
        </w:rPr>
        <w:t>：</w:t>
      </w:r>
      <w:r>
        <w:rPr>
          <w:rFonts w:hint="eastAsia" w:ascii="仿宋_GB2312" w:hAnsi="仿宋" w:eastAsia="仿宋_GB2312"/>
          <w:sz w:val="32"/>
          <w:szCs w:val="32"/>
        </w:rPr>
        <w:t>是指机关人员人身意外险缴费的支出。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7.卫生健康支出（类）行政事业单位医疗（款）行政单位医疗（项）</w:t>
      </w:r>
      <w:r>
        <w:rPr>
          <w:rFonts w:hint="eastAsia" w:ascii="仿宋_GB2312" w:hAnsi="仿宋" w:eastAsia="仿宋_GB2312"/>
          <w:sz w:val="32"/>
          <w:szCs w:val="32"/>
          <w:lang w:eastAsia="zh-CN"/>
        </w:rPr>
        <w:t>：</w:t>
      </w:r>
      <w:r>
        <w:rPr>
          <w:rFonts w:hint="eastAsia" w:ascii="仿宋_GB2312" w:hAnsi="仿宋" w:eastAsia="仿宋_GB2312"/>
          <w:sz w:val="32"/>
          <w:szCs w:val="32"/>
        </w:rPr>
        <w:t>是指职工医疗保险支出。</w:t>
      </w:r>
    </w:p>
    <w:p>
      <w:pPr>
        <w:tabs>
          <w:tab w:val="left" w:pos="2325"/>
        </w:tabs>
        <w:ind w:firstLine="640" w:firstLineChars="200"/>
        <w:rPr>
          <w:rFonts w:hint="eastAsia" w:ascii="仿宋_GB2312" w:hAnsi="仿宋" w:eastAsia="仿宋_GB2312"/>
          <w:sz w:val="32"/>
          <w:szCs w:val="32"/>
        </w:rPr>
      </w:pPr>
      <w:r>
        <w:rPr>
          <w:rFonts w:hint="eastAsia" w:ascii="仿宋_GB2312" w:hAnsi="仿宋" w:eastAsia="仿宋_GB2312"/>
          <w:sz w:val="32"/>
          <w:szCs w:val="32"/>
        </w:rPr>
        <w:t>8.卫生健康支出（类）行政事业单位医疗（款）公务员医疗补助（项）</w:t>
      </w:r>
      <w:r>
        <w:rPr>
          <w:rFonts w:hint="eastAsia" w:ascii="仿宋_GB2312" w:hAnsi="仿宋" w:eastAsia="仿宋_GB2312"/>
          <w:sz w:val="32"/>
          <w:szCs w:val="32"/>
          <w:lang w:eastAsia="zh-CN"/>
        </w:rPr>
        <w:t>：</w:t>
      </w:r>
      <w:r>
        <w:rPr>
          <w:rFonts w:hint="eastAsia" w:ascii="仿宋_GB2312" w:hAnsi="仿宋" w:eastAsia="仿宋_GB2312"/>
          <w:sz w:val="32"/>
          <w:szCs w:val="32"/>
        </w:rPr>
        <w:t>是指公务员医疗保险支出增加。</w:t>
      </w:r>
    </w:p>
    <w:p>
      <w:pPr>
        <w:tabs>
          <w:tab w:val="left" w:pos="2325"/>
        </w:tabs>
        <w:ind w:firstLine="640" w:firstLineChars="200"/>
        <w:rPr>
          <w:rFonts w:ascii="仿宋_GB2312" w:hAnsi="仿宋" w:eastAsia="仿宋_GB2312"/>
          <w:sz w:val="32"/>
          <w:szCs w:val="32"/>
        </w:rPr>
      </w:pPr>
      <w:r>
        <w:rPr>
          <w:rFonts w:hint="eastAsia" w:ascii="仿宋_GB2312" w:hAnsi="仿宋" w:eastAsia="仿宋_GB2312"/>
          <w:sz w:val="32"/>
          <w:szCs w:val="32"/>
        </w:rPr>
        <w:t>9.住房保障支出（类）住房改革支出（款）住房公积金（项）</w:t>
      </w:r>
      <w:r>
        <w:rPr>
          <w:rFonts w:hint="eastAsia" w:ascii="仿宋_GB2312" w:hAnsi="仿宋" w:eastAsia="仿宋_GB2312"/>
          <w:sz w:val="32"/>
          <w:szCs w:val="32"/>
          <w:lang w:eastAsia="zh-CN"/>
        </w:rPr>
        <w:t>：</w:t>
      </w:r>
      <w:r>
        <w:rPr>
          <w:rFonts w:hint="eastAsia" w:ascii="仿宋_GB2312" w:hAnsi="仿宋" w:eastAsia="仿宋_GB2312"/>
          <w:sz w:val="32"/>
          <w:szCs w:val="32"/>
        </w:rPr>
        <w:t>是指各单位人员因政策性增资相应增加的住房保障性支出。</w:t>
      </w:r>
    </w:p>
    <w:p>
      <w:pPr>
        <w:tabs>
          <w:tab w:val="left" w:pos="2325"/>
        </w:tabs>
        <w:ind w:firstLine="643" w:firstLineChars="200"/>
        <w:rPr>
          <w:rFonts w:ascii="楷体" w:hAnsi="楷体" w:eastAsia="楷体"/>
          <w:b/>
          <w:sz w:val="32"/>
          <w:szCs w:val="32"/>
        </w:rPr>
      </w:pPr>
      <w:r>
        <w:rPr>
          <w:rFonts w:hint="eastAsia" w:ascii="楷体" w:hAnsi="楷体" w:eastAsia="楷体"/>
          <w:b/>
          <w:sz w:val="32"/>
          <w:szCs w:val="32"/>
        </w:rPr>
        <w:t>三、其他</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（一）基本支出：</w:t>
      </w:r>
      <w:r>
        <w:rPr>
          <w:rFonts w:hint="eastAsia" w:ascii="仿宋_GB2312" w:hAnsi="仿宋" w:eastAsia="仿宋_GB2312"/>
          <w:sz w:val="32"/>
          <w:szCs w:val="32"/>
        </w:rPr>
        <w:t>指为保障机构正常运转、完成日常工作任务而发生的人员支出和公用支出。</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（二）项目支出：</w:t>
      </w:r>
      <w:r>
        <w:rPr>
          <w:rFonts w:hint="eastAsia" w:ascii="仿宋_GB2312" w:hAnsi="仿宋" w:eastAsia="仿宋_GB2312"/>
          <w:sz w:val="32"/>
          <w:szCs w:val="32"/>
        </w:rPr>
        <w:t>指在基本支出之外为完成特定行政任务和事业发展目标所发生的支出。</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（三）上缴上级支出：</w:t>
      </w:r>
      <w:r>
        <w:rPr>
          <w:rFonts w:hint="eastAsia" w:ascii="仿宋_GB2312" w:hAnsi="仿宋" w:eastAsia="仿宋_GB2312"/>
          <w:sz w:val="32"/>
          <w:szCs w:val="32"/>
        </w:rPr>
        <w:t>指附属单位上缴上级的支出。</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（四）事业单位经营支出：</w:t>
      </w:r>
      <w:r>
        <w:rPr>
          <w:rFonts w:hint="eastAsia" w:ascii="仿宋_GB2312" w:hAnsi="仿宋" w:eastAsia="仿宋_GB2312"/>
          <w:sz w:val="32"/>
          <w:szCs w:val="32"/>
        </w:rPr>
        <w:t>指事业单位在专业业务活动及其辅助活动之外开展非独立核算经营活动发生的支出。</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（五）对附属单位补助支出：</w:t>
      </w:r>
      <w:r>
        <w:rPr>
          <w:rFonts w:hint="eastAsia" w:ascii="仿宋_GB2312" w:hAnsi="仿宋" w:eastAsia="仿宋_GB2312"/>
          <w:sz w:val="32"/>
          <w:szCs w:val="32"/>
        </w:rPr>
        <w:t>指预算单位对所属单位补助发生的支出。</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（六）“三公”经费财政拨款支出：</w:t>
      </w:r>
      <w:r>
        <w:rPr>
          <w:rFonts w:hint="eastAsia" w:ascii="仿宋_GB2312" w:hAnsi="仿宋" w:eastAsia="仿宋_GB2312"/>
          <w:sz w:val="32"/>
          <w:szCs w:val="32"/>
        </w:rPr>
        <w:t>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tabs>
          <w:tab w:val="left" w:pos="2325"/>
        </w:tabs>
        <w:ind w:firstLine="643" w:firstLineChars="200"/>
        <w:rPr>
          <w:rFonts w:ascii="仿宋_GB2312" w:hAnsi="楷体" w:eastAsia="仿宋_GB2312"/>
          <w:sz w:val="32"/>
          <w:szCs w:val="32"/>
        </w:rPr>
      </w:pPr>
      <w:r>
        <w:rPr>
          <w:rFonts w:hint="eastAsia" w:ascii="仿宋_GB2312" w:hAnsi="仿宋" w:eastAsia="仿宋_GB2312"/>
          <w:b/>
          <w:sz w:val="32"/>
          <w:szCs w:val="32"/>
        </w:rPr>
        <w:t>（七）机关运行经费：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footerReference r:id="rId3" w:type="default"/>
      <w:pgSz w:w="11906" w:h="16838"/>
      <w:pgMar w:top="1814"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529878"/>
      <w:docPartObj>
        <w:docPartGallery w:val="autotext"/>
      </w:docPartObj>
    </w:sdtPr>
    <w:sdtContent>
      <w:p>
        <w:pPr>
          <w:pStyle w:val="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22</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D3"/>
    <w:rsid w:val="000225D7"/>
    <w:rsid w:val="00042791"/>
    <w:rsid w:val="000450AD"/>
    <w:rsid w:val="00045C38"/>
    <w:rsid w:val="0006257C"/>
    <w:rsid w:val="000A1C70"/>
    <w:rsid w:val="000A31BA"/>
    <w:rsid w:val="001333C0"/>
    <w:rsid w:val="00147261"/>
    <w:rsid w:val="001C1614"/>
    <w:rsid w:val="00257377"/>
    <w:rsid w:val="00262818"/>
    <w:rsid w:val="002911E5"/>
    <w:rsid w:val="002965DA"/>
    <w:rsid w:val="002B4B6B"/>
    <w:rsid w:val="002D2E4C"/>
    <w:rsid w:val="00313E35"/>
    <w:rsid w:val="003305E5"/>
    <w:rsid w:val="0033369B"/>
    <w:rsid w:val="00345FEE"/>
    <w:rsid w:val="0034642F"/>
    <w:rsid w:val="003B46B6"/>
    <w:rsid w:val="003C786D"/>
    <w:rsid w:val="00426CFB"/>
    <w:rsid w:val="00476D99"/>
    <w:rsid w:val="00480091"/>
    <w:rsid w:val="00481A79"/>
    <w:rsid w:val="00493C2F"/>
    <w:rsid w:val="00496EF2"/>
    <w:rsid w:val="004B2A3A"/>
    <w:rsid w:val="00535D58"/>
    <w:rsid w:val="00574583"/>
    <w:rsid w:val="00585F0C"/>
    <w:rsid w:val="005E6F9B"/>
    <w:rsid w:val="00653621"/>
    <w:rsid w:val="00770C7B"/>
    <w:rsid w:val="007B5311"/>
    <w:rsid w:val="007C3382"/>
    <w:rsid w:val="007E0DFE"/>
    <w:rsid w:val="00800535"/>
    <w:rsid w:val="00811C7C"/>
    <w:rsid w:val="008655F6"/>
    <w:rsid w:val="008E3144"/>
    <w:rsid w:val="00975FF3"/>
    <w:rsid w:val="00991970"/>
    <w:rsid w:val="009A4A8B"/>
    <w:rsid w:val="00A14F72"/>
    <w:rsid w:val="00AB2A07"/>
    <w:rsid w:val="00AB597E"/>
    <w:rsid w:val="00AC0456"/>
    <w:rsid w:val="00AC6CC5"/>
    <w:rsid w:val="00AD33D6"/>
    <w:rsid w:val="00AE44E7"/>
    <w:rsid w:val="00BC198A"/>
    <w:rsid w:val="00BC1DD3"/>
    <w:rsid w:val="00BE47BD"/>
    <w:rsid w:val="00BF2014"/>
    <w:rsid w:val="00BF47BB"/>
    <w:rsid w:val="00C20C4C"/>
    <w:rsid w:val="00C33FF0"/>
    <w:rsid w:val="00CD7C9B"/>
    <w:rsid w:val="00D14717"/>
    <w:rsid w:val="00D15FEB"/>
    <w:rsid w:val="00D25D56"/>
    <w:rsid w:val="00D95834"/>
    <w:rsid w:val="00DF11F0"/>
    <w:rsid w:val="00DF74FC"/>
    <w:rsid w:val="00E07510"/>
    <w:rsid w:val="00EB1011"/>
    <w:rsid w:val="00EB705C"/>
    <w:rsid w:val="00EF57B3"/>
    <w:rsid w:val="00F261DB"/>
    <w:rsid w:val="00F8346F"/>
    <w:rsid w:val="00F87746"/>
    <w:rsid w:val="00FB79DD"/>
    <w:rsid w:val="00FC038A"/>
    <w:rsid w:val="00FF60A3"/>
    <w:rsid w:val="096A0679"/>
    <w:rsid w:val="0CCF3CC3"/>
    <w:rsid w:val="0F526F9C"/>
    <w:rsid w:val="1AEA4E29"/>
    <w:rsid w:val="27E0271C"/>
    <w:rsid w:val="281C6299"/>
    <w:rsid w:val="2AD5793C"/>
    <w:rsid w:val="3D8F2721"/>
    <w:rsid w:val="53640E8D"/>
    <w:rsid w:val="6310769D"/>
    <w:rsid w:val="730226CC"/>
    <w:rsid w:val="7A3F6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table" w:customStyle="1" w:styleId="9">
    <w:name w:val="Table Normal"/>
    <w:semiHidden/>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10">
    <w:name w:val="Table Paragraph"/>
    <w:basedOn w:val="1"/>
    <w:qFormat/>
    <w:uiPriority w:val="1"/>
    <w:pPr>
      <w:jc w:val="left"/>
    </w:pPr>
    <w:rPr>
      <w:kern w:val="0"/>
      <w:sz w:val="22"/>
      <w:lang w:eastAsia="en-US"/>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005ED-B0A7-4FCF-B9A3-D13D076D7DD9}">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842</Words>
  <Characters>4802</Characters>
  <Lines>40</Lines>
  <Paragraphs>11</Paragraphs>
  <TotalTime>880</TotalTime>
  <ScaleCrop>false</ScaleCrop>
  <LinksUpToDate>false</LinksUpToDate>
  <CharactersWithSpaces>5633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2019-02-28T07:17:00Z</dcterms:created>
  <dc:creator>项征</dc:creator>
  <cp:lastModifiedBy>Administrator</cp:lastModifiedBy>
  <cp:lastPrinted>2019-03-29T01:46:00Z</cp:lastPrinted>
  <dcterms:modified xsi:type="dcterms:W3CDTF">2019-03-29T06:42:28Z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